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240" w:before="0" w:after="0"/>
        <w:jc w:val="start"/>
        <w:rPr>
          <w:rFonts w:ascii="Arial" w:hAnsi="Arial"/>
          <w:sz w:val="24"/>
          <w:szCs w:val="24"/>
        </w:rPr>
      </w:pPr>
      <w:r>
        <w:rPr>
          <w:rFonts w:cs="Times New Roman" w:ascii="Arial" w:hAnsi="Arial"/>
          <w:sz w:val="24"/>
          <w:szCs w:val="24"/>
        </w:rPr>
        <w:t>Z</w:t>
      </w:r>
      <w:r>
        <w:rPr>
          <w:rFonts w:cs="Times New Roman" w:ascii="Arial" w:hAnsi="Arial"/>
          <w:sz w:val="24"/>
          <w:szCs w:val="24"/>
        </w:rPr>
        <w:t xml:space="preserve">arządzenie nr 16//2026 Dyrektora Centrum Usług Wspólnych Placówek Oświatowych we Włocławku </w:t>
      </w:r>
      <w:r>
        <w:rPr>
          <w:rFonts w:cs="Times New Roman" w:ascii="Arial" w:hAnsi="Arial"/>
          <w:b w:val="false"/>
          <w:sz w:val="24"/>
          <w:szCs w:val="24"/>
        </w:rPr>
        <w:t>z dnia 22  września  2026 r.</w:t>
      </w:r>
    </w:p>
    <w:p>
      <w:pPr>
        <w:pStyle w:val="Normal"/>
        <w:spacing w:before="0" w:after="0"/>
        <w:jc w:val="start"/>
        <w:rPr>
          <w:rFonts w:ascii="Arial" w:hAnsi="Arial"/>
          <w:sz w:val="24"/>
          <w:szCs w:val="24"/>
        </w:rPr>
      </w:pPr>
      <w:r>
        <w:rPr>
          <w:rFonts w:cs="Times New Roman" w:ascii="Arial" w:hAnsi="Arial"/>
          <w:b/>
          <w:bCs/>
          <w:sz w:val="24"/>
          <w:szCs w:val="24"/>
        </w:rPr>
        <w:t>w sprawie przeprowadzenia inwentaryzacji składników majątkowych jednostek obsługiwanych (nie ujmowanych na arkuszach spisu z natury) oraz rozliczeń wyników okresowej inwentaryzacji składników majątkowych sporządzonej przez Komisje Inwentaryzacyjne jednostek obsługiwanych</w:t>
      </w:r>
      <w:r>
        <w:rPr>
          <w:rFonts w:cs="Times New Roman" w:ascii="Arial" w:hAnsi="Arial"/>
          <w:b/>
          <w:sz w:val="24"/>
          <w:szCs w:val="24"/>
        </w:rPr>
        <w:t xml:space="preserve"> w 2026 roku</w:t>
      </w:r>
      <w:r>
        <w:rPr>
          <w:rFonts w:cs="Times New Roman" w:ascii="Arial" w:hAnsi="Arial"/>
          <w:sz w:val="24"/>
          <w:szCs w:val="24"/>
        </w:rPr>
        <w:t>.</w:t>
      </w:r>
    </w:p>
    <w:p>
      <w:pPr>
        <w:pStyle w:val="Normal"/>
        <w:spacing w:lineRule="auto" w:line="240" w:before="120" w:after="120"/>
        <w:jc w:val="start"/>
        <w:rPr>
          <w:rFonts w:ascii="Arial" w:hAnsi="Arial"/>
          <w:sz w:val="24"/>
          <w:szCs w:val="24"/>
        </w:rPr>
      </w:pPr>
      <w:r>
        <w:rPr>
          <w:rFonts w:cs="Times New Roman" w:ascii="Arial" w:hAnsi="Arial"/>
          <w:sz w:val="24"/>
          <w:szCs w:val="24"/>
        </w:rPr>
        <w:t xml:space="preserve">Na podstawie art. 26 i 27 ustawy z dnia 29 września 1994 r. o rachunkowości (t.j. Dz. U. z 2026 roku, poz. 522 ze zm.) oraz instrukcji inwentaryzacyjnej stanowiącej załącznik do zarządzenia nr 8/2022 Dyrektora Centrum  z dnia 30  września 2022 roku w sprawie wprowadzenia instrukcji inwentaryzacyjnej w Centrum Usług Wspólnych Placówek Oświatowych we Włocławku ustalam zakres i sposób przeprowadzenia inwentaryzacji i </w:t>
      </w:r>
      <w:r>
        <w:rPr>
          <w:rFonts w:cs="Times New Roman" w:ascii="Arial" w:hAnsi="Arial"/>
          <w:bCs/>
          <w:sz w:val="24"/>
          <w:szCs w:val="24"/>
        </w:rPr>
        <w:t>rozliczeń wyników okresowej inwentaryzacji składników majątkowych jednostek obsługiwanych</w:t>
      </w:r>
      <w:r>
        <w:rPr>
          <w:rFonts w:cs="Times New Roman" w:ascii="Arial" w:hAnsi="Arial"/>
          <w:sz w:val="24"/>
          <w:szCs w:val="24"/>
        </w:rPr>
        <w:t xml:space="preserve"> w 2026 roku.</w:t>
      </w:r>
    </w:p>
    <w:p>
      <w:pPr>
        <w:pStyle w:val="Normal"/>
        <w:jc w:val="start"/>
        <w:rPr>
          <w:rFonts w:ascii="Arial" w:hAnsi="Arial"/>
          <w:sz w:val="24"/>
          <w:szCs w:val="24"/>
        </w:rPr>
      </w:pPr>
      <w:r>
        <w:rPr>
          <w:rFonts w:cs="Times New Roman" w:ascii="Arial" w:hAnsi="Arial"/>
          <w:sz w:val="24"/>
          <w:szCs w:val="24"/>
        </w:rPr>
        <w:t>§ 1</w:t>
      </w:r>
    </w:p>
    <w:p>
      <w:pPr>
        <w:pStyle w:val="Normal"/>
        <w:jc w:val="start"/>
        <w:rPr>
          <w:rFonts w:ascii="Arial" w:hAnsi="Arial"/>
          <w:sz w:val="24"/>
          <w:szCs w:val="24"/>
        </w:rPr>
      </w:pPr>
      <w:r>
        <w:rPr>
          <w:rFonts w:cs="Times New Roman" w:ascii="Arial" w:hAnsi="Arial"/>
          <w:sz w:val="24"/>
          <w:szCs w:val="24"/>
        </w:rPr>
        <w:t xml:space="preserve">Zarządzam </w:t>
      </w:r>
      <w:r>
        <w:rPr>
          <w:rFonts w:cs="Times New Roman" w:ascii="Arial" w:hAnsi="Arial"/>
          <w:bCs/>
          <w:sz w:val="24"/>
          <w:szCs w:val="24"/>
        </w:rPr>
        <w:t>rozliczenie wyników okresowej inwentaryzacji składników majątkowych jednostek obsługiwanych,</w:t>
      </w:r>
      <w:r>
        <w:rPr>
          <w:rFonts w:cs="Times New Roman" w:ascii="Arial" w:hAnsi="Arial"/>
          <w:b/>
          <w:bCs/>
          <w:sz w:val="24"/>
          <w:szCs w:val="24"/>
        </w:rPr>
        <w:t xml:space="preserve"> </w:t>
      </w:r>
      <w:r>
        <w:rPr>
          <w:rFonts w:cs="Times New Roman" w:ascii="Arial" w:hAnsi="Arial"/>
          <w:sz w:val="24"/>
          <w:szCs w:val="24"/>
        </w:rPr>
        <w:t>dokonanej wcześniej w jednostkach obsługiwanych przez Komisje Inwentaryzacyjne powołane przez dyrektorów szkół obsługiwanych przez Centrum.</w:t>
      </w:r>
    </w:p>
    <w:p>
      <w:pPr>
        <w:pStyle w:val="Normal"/>
        <w:jc w:val="start"/>
        <w:rPr>
          <w:rFonts w:ascii="Arial" w:hAnsi="Arial"/>
          <w:sz w:val="24"/>
          <w:szCs w:val="24"/>
        </w:rPr>
      </w:pPr>
      <w:r>
        <w:rPr>
          <w:rFonts w:cs="Times New Roman" w:ascii="Arial" w:hAnsi="Arial"/>
          <w:sz w:val="24"/>
          <w:szCs w:val="24"/>
        </w:rPr>
        <w:t xml:space="preserve"> </w:t>
      </w:r>
      <w:r>
        <w:rPr>
          <w:rFonts w:cs="Times New Roman" w:ascii="Arial" w:hAnsi="Arial"/>
          <w:sz w:val="24"/>
          <w:szCs w:val="24"/>
        </w:rPr>
        <w:t>§ 2</w:t>
      </w:r>
    </w:p>
    <w:p>
      <w:pPr>
        <w:pStyle w:val="Normal"/>
        <w:spacing w:before="0" w:after="120"/>
        <w:jc w:val="start"/>
        <w:rPr>
          <w:rFonts w:ascii="Arial" w:hAnsi="Arial"/>
          <w:sz w:val="24"/>
          <w:szCs w:val="24"/>
        </w:rPr>
      </w:pPr>
      <w:r>
        <w:rPr>
          <w:rFonts w:cs="Times New Roman" w:ascii="Arial" w:hAnsi="Arial"/>
          <w:sz w:val="24"/>
          <w:szCs w:val="24"/>
        </w:rPr>
        <w:t>Inwentaryzacją należy objąć następujące składniki aktywów i pasywów:</w:t>
      </w:r>
    </w:p>
    <w:p>
      <w:pPr>
        <w:pStyle w:val="ListParagraph"/>
        <w:numPr>
          <w:ilvl w:val="0"/>
          <w:numId w:val="1"/>
        </w:numPr>
        <w:spacing w:before="0" w:after="0"/>
        <w:ind w:hanging="357" w:start="357"/>
        <w:jc w:val="start"/>
        <w:rPr>
          <w:rFonts w:ascii="Arial" w:hAnsi="Arial"/>
          <w:sz w:val="24"/>
          <w:szCs w:val="24"/>
        </w:rPr>
      </w:pPr>
      <w:r>
        <w:rPr>
          <w:rFonts w:cs="Times New Roman" w:ascii="Arial" w:hAnsi="Arial"/>
          <w:sz w:val="24"/>
          <w:szCs w:val="24"/>
        </w:rPr>
        <w:t>wartości niematerialne i prawne (drogą weryfikacji stanów wynikających z ksiąg rachunkowych z odpowiednimi dokumentami),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hanging="357" w:start="357"/>
        <w:jc w:val="start"/>
        <w:rPr>
          <w:rFonts w:ascii="Arial" w:hAnsi="Arial"/>
          <w:sz w:val="24"/>
          <w:szCs w:val="24"/>
        </w:rPr>
      </w:pPr>
      <w:r>
        <w:rPr>
          <w:rFonts w:cs="Times New Roman" w:ascii="Arial" w:hAnsi="Arial"/>
          <w:sz w:val="24"/>
          <w:szCs w:val="24"/>
        </w:rPr>
        <w:t>aktywa pieniężne w kasie (drogą spisu z natury),</w:t>
      </w:r>
    </w:p>
    <w:p>
      <w:pPr>
        <w:pStyle w:val="ListParagraph"/>
        <w:numPr>
          <w:ilvl w:val="0"/>
          <w:numId w:val="1"/>
        </w:numPr>
        <w:spacing w:before="0" w:after="0"/>
        <w:ind w:hanging="357" w:start="357"/>
        <w:jc w:val="start"/>
        <w:rPr>
          <w:rFonts w:ascii="Arial" w:hAnsi="Arial"/>
          <w:sz w:val="24"/>
          <w:szCs w:val="24"/>
        </w:rPr>
      </w:pPr>
      <w:r>
        <w:rPr>
          <w:rFonts w:cs="Times New Roman" w:ascii="Arial" w:hAnsi="Arial"/>
          <w:sz w:val="24"/>
          <w:szCs w:val="24"/>
        </w:rPr>
        <w:t>czeki, druki ścisłego zarachowania (drogą spisu z natury i weryfikacji księgi druków ścisłego zarachowania),</w:t>
      </w:r>
    </w:p>
    <w:p>
      <w:pPr>
        <w:pStyle w:val="ListParagraph"/>
        <w:numPr>
          <w:ilvl w:val="0"/>
          <w:numId w:val="1"/>
        </w:numPr>
        <w:spacing w:before="0" w:after="0"/>
        <w:ind w:hanging="357" w:start="357"/>
        <w:jc w:val="start"/>
        <w:rPr>
          <w:rFonts w:ascii="Arial" w:hAnsi="Arial"/>
          <w:sz w:val="24"/>
          <w:szCs w:val="24"/>
        </w:rPr>
      </w:pPr>
      <w:r>
        <w:rPr>
          <w:rFonts w:cs="Times New Roman" w:ascii="Arial" w:hAnsi="Arial"/>
          <w:sz w:val="24"/>
          <w:szCs w:val="24"/>
        </w:rPr>
        <w:t>aktywa finansowe na rachunkach bankowych (w drodze potwierdzenia sald),</w:t>
      </w:r>
    </w:p>
    <w:p>
      <w:pPr>
        <w:pStyle w:val="ListParagraph"/>
        <w:numPr>
          <w:ilvl w:val="0"/>
          <w:numId w:val="1"/>
        </w:numPr>
        <w:spacing w:before="0" w:after="0"/>
        <w:jc w:val="start"/>
        <w:rPr>
          <w:rFonts w:ascii="Arial" w:hAnsi="Arial"/>
          <w:sz w:val="24"/>
          <w:szCs w:val="24"/>
        </w:rPr>
      </w:pPr>
      <w:r>
        <w:rPr>
          <w:rFonts w:cs="Times New Roman" w:ascii="Arial" w:hAnsi="Arial"/>
          <w:sz w:val="24"/>
          <w:szCs w:val="24"/>
        </w:rPr>
        <w:t>należności od kontrahentów (w drodze potwierdzenia sald) - stan na 31.10.2026 r.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hanging="357" w:start="357"/>
        <w:jc w:val="start"/>
        <w:rPr>
          <w:rFonts w:ascii="Arial" w:hAnsi="Arial"/>
          <w:sz w:val="24"/>
          <w:szCs w:val="24"/>
        </w:rPr>
      </w:pPr>
      <w:r>
        <w:rPr>
          <w:rFonts w:cs="Times New Roman" w:ascii="Arial" w:hAnsi="Arial"/>
          <w:sz w:val="24"/>
          <w:szCs w:val="24"/>
        </w:rPr>
        <w:t>należności i zobowiązania publiczno-prawne, z pracownikami (drogą weryfikacji stanów wynikających z ksiąg rachunkowych z odpowiednimi dokumentami),</w:t>
      </w:r>
    </w:p>
    <w:p>
      <w:pPr>
        <w:pStyle w:val="ListParagraph"/>
        <w:numPr>
          <w:ilvl w:val="0"/>
          <w:numId w:val="1"/>
        </w:numPr>
        <w:spacing w:before="0" w:after="0"/>
        <w:ind w:hanging="357" w:start="357"/>
        <w:jc w:val="start"/>
        <w:rPr>
          <w:rFonts w:ascii="Arial" w:hAnsi="Arial"/>
          <w:sz w:val="24"/>
          <w:szCs w:val="24"/>
        </w:rPr>
      </w:pPr>
      <w:r>
        <w:rPr>
          <w:rFonts w:cs="Times New Roman" w:ascii="Arial" w:hAnsi="Arial"/>
          <w:sz w:val="24"/>
          <w:szCs w:val="24"/>
        </w:rPr>
        <w:t>fundusze, rezerwy (drogą weryfikacji stanów wynikających z ksiąg rachunkowych z odpowiednimi dokumentami).</w:t>
      </w:r>
    </w:p>
    <w:p>
      <w:pPr>
        <w:pStyle w:val="ListParagraph"/>
        <w:numPr>
          <w:ilvl w:val="0"/>
          <w:numId w:val="1"/>
        </w:numPr>
        <w:spacing w:before="0" w:after="0"/>
        <w:ind w:hanging="357" w:start="357"/>
        <w:jc w:val="start"/>
        <w:rPr>
          <w:rFonts w:ascii="Arial" w:hAnsi="Arial"/>
          <w:sz w:val="24"/>
          <w:szCs w:val="24"/>
        </w:rPr>
      </w:pPr>
      <w:r>
        <w:rPr>
          <w:rFonts w:cs="Times New Roman" w:ascii="Arial" w:hAnsi="Arial"/>
          <w:sz w:val="24"/>
          <w:szCs w:val="24"/>
        </w:rPr>
        <w:t>środki trwałe ( drogą weryfikacji stanów wynikających z ksiąg rachunkowych z odpowiednimi dokumentami),</w:t>
      </w:r>
    </w:p>
    <w:p>
      <w:pPr>
        <w:pStyle w:val="ListParagraph"/>
        <w:numPr>
          <w:ilvl w:val="0"/>
          <w:numId w:val="1"/>
        </w:numPr>
        <w:spacing w:before="0" w:after="0"/>
        <w:ind w:hanging="357" w:start="357"/>
        <w:jc w:val="start"/>
        <w:rPr>
          <w:rFonts w:ascii="Arial" w:hAnsi="Arial"/>
          <w:sz w:val="24"/>
          <w:szCs w:val="24"/>
        </w:rPr>
      </w:pPr>
      <w:r>
        <w:rPr>
          <w:rFonts w:cs="Times New Roman" w:ascii="Arial" w:hAnsi="Arial"/>
          <w:sz w:val="24"/>
          <w:szCs w:val="24"/>
        </w:rPr>
        <w:t>pozostałe środki ( drogą weryfikacji stanów wynikających z ksiąg rachunkowych z odpowiednimi dokumentami).</w:t>
      </w:r>
    </w:p>
    <w:p>
      <w:pPr>
        <w:pStyle w:val="Normal"/>
        <w:jc w:val="start"/>
        <w:rPr>
          <w:rFonts w:ascii="Arial" w:hAnsi="Arial"/>
          <w:sz w:val="24"/>
          <w:szCs w:val="24"/>
        </w:rPr>
      </w:pPr>
      <w:r>
        <w:rPr>
          <w:rFonts w:cs="Times New Roman" w:ascii="Arial" w:hAnsi="Arial"/>
          <w:sz w:val="24"/>
          <w:szCs w:val="24"/>
        </w:rPr>
        <w:t>§ 3</w:t>
      </w:r>
    </w:p>
    <w:p>
      <w:pPr>
        <w:pStyle w:val="ListParagraph"/>
        <w:numPr>
          <w:ilvl w:val="0"/>
          <w:numId w:val="2"/>
        </w:numPr>
        <w:jc w:val="start"/>
        <w:rPr>
          <w:rFonts w:ascii="Arial" w:hAnsi="Arial"/>
          <w:sz w:val="24"/>
          <w:szCs w:val="24"/>
        </w:rPr>
      </w:pPr>
      <w:r>
        <w:rPr>
          <w:rFonts w:cs="Times New Roman" w:ascii="Arial" w:hAnsi="Arial"/>
          <w:sz w:val="24"/>
          <w:szCs w:val="24"/>
        </w:rPr>
        <w:t xml:space="preserve">Inwentaryzację składników wymienionych w § 2 przeprowadzą pracownicy ds. księgowych obsługujących poszczególne jednostki obsługiwane. </w:t>
      </w:r>
    </w:p>
    <w:p>
      <w:pPr>
        <w:pStyle w:val="ListParagraph"/>
        <w:numPr>
          <w:ilvl w:val="0"/>
          <w:numId w:val="2"/>
        </w:numPr>
        <w:jc w:val="start"/>
        <w:rPr>
          <w:rFonts w:ascii="Arial" w:hAnsi="Arial"/>
          <w:sz w:val="24"/>
          <w:szCs w:val="24"/>
        </w:rPr>
      </w:pPr>
      <w:r>
        <w:rPr>
          <w:rFonts w:cs="Times New Roman" w:ascii="Arial" w:hAnsi="Arial"/>
          <w:sz w:val="24"/>
          <w:szCs w:val="24"/>
        </w:rPr>
        <w:t>Po zakończeniu czynności inwentaryzacyjnych pracownik ds. księgowych sporządzi protokół rozliczeń wyników inwentaryzacji do dnia 12 stycznia 2027 roku.</w:t>
      </w:r>
    </w:p>
    <w:p>
      <w:pPr>
        <w:pStyle w:val="ListParagraph"/>
        <w:numPr>
          <w:ilvl w:val="0"/>
          <w:numId w:val="2"/>
        </w:numPr>
        <w:jc w:val="start"/>
        <w:rPr>
          <w:rFonts w:ascii="Arial" w:hAnsi="Arial"/>
          <w:sz w:val="24"/>
          <w:szCs w:val="24"/>
        </w:rPr>
      </w:pPr>
      <w:r>
        <w:rPr>
          <w:rFonts w:cs="Times New Roman" w:ascii="Arial" w:hAnsi="Arial"/>
          <w:sz w:val="24"/>
          <w:szCs w:val="24"/>
        </w:rPr>
        <w:t>Za przeprowadzenie inwentaryzacji w terminie i zakresie określonym w niniejszym Zarządzeniu odpowiedzialny jest kierownik jednostki określonej w §1.</w:t>
      </w:r>
    </w:p>
    <w:p>
      <w:pPr>
        <w:pStyle w:val="Normal"/>
        <w:jc w:val="start"/>
        <w:rPr>
          <w:rFonts w:ascii="Arial" w:hAnsi="Arial"/>
          <w:sz w:val="24"/>
          <w:szCs w:val="24"/>
        </w:rPr>
      </w:pPr>
      <w:r>
        <w:rPr>
          <w:rFonts w:cs="Times New Roman" w:ascii="Arial" w:hAnsi="Arial"/>
          <w:sz w:val="24"/>
          <w:szCs w:val="24"/>
        </w:rPr>
        <w:t>§ 4</w:t>
      </w:r>
    </w:p>
    <w:p>
      <w:pPr>
        <w:pStyle w:val="Normal"/>
        <w:spacing w:before="0" w:after="200"/>
        <w:jc w:val="start"/>
        <w:rPr>
          <w:rFonts w:ascii="Arial" w:hAnsi="Arial"/>
          <w:sz w:val="24"/>
          <w:szCs w:val="24"/>
        </w:rPr>
      </w:pPr>
      <w:r>
        <w:rPr>
          <w:rFonts w:cs="Times New Roman" w:ascii="Arial" w:hAnsi="Arial"/>
          <w:sz w:val="24"/>
          <w:szCs w:val="24"/>
        </w:rPr>
        <w:t>Zarządzenie wchodzi w życie z dniem podpisania.</w:t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swiss"/>
    <w:pitch w:val="variable"/>
  </w:font>
  <w:font w:name="Segoe UI"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swiss"/>
    <w:pitch w:val="variable"/>
  </w:font>
  <w:font w:name="MinionPro-Bold">
    <w:charset w:val="ee" w:characterSet="windows-1250"/>
    <w:family w:val="swiss"/>
    <w:pitch w:val="variable"/>
  </w:font>
  <w:font w:name="Arial"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)"/>
      <w:lvlJc w:val="start"/>
      <w:pPr>
        <w:tabs>
          <w:tab w:val="num" w:pos="0"/>
        </w:tabs>
        <w:ind w:start="36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08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180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52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24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396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468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40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120" w:hanging="180"/>
      </w:pPr>
      <w:rPr/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embedSystemFonts/>
  <w:defaultTabStop w:val="708"/>
  <w:autoHyphenation w:val="true"/>
  <w:hyphenationZone w:val="425"/>
  <w:doNotHyphenateCaps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sz w:val="22"/>
        <w:szCs w:val="22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semiHidden="1" w:unhideWhenUsed="1" w:qFormat="1"/>
    <w:lsdException w:name="heading 3" w:locked="1" w:uiPriority="0" w:semiHidden="1" w:unhideWhenUsed="1" w:qFormat="1"/>
    <w:lsdException w:name="heading 4" w:locked="1" w:uiPriority="0" w:semiHidden="1" w:unhideWhenUsed="1" w:qFormat="1"/>
    <w:lsdException w:name="heading 5" w:locked="1" w:uiPriority="0" w:semiHidden="1" w:unhideWhenUsed="1" w:qFormat="1"/>
    <w:lsdException w:name="heading 6" w:locked="1" w:uiPriority="0" w:semiHidden="1" w:unhideWhenUsed="1" w:qFormat="1"/>
    <w:lsdException w:name="heading 7" w:locked="1" w:uiPriority="0" w:semiHidden="1" w:unhideWhenUsed="1" w:qFormat="1"/>
    <w:lsdException w:name="heading 8" w:locked="1" w:uiPriority="0" w:semiHidden="1" w:unhideWhenUsed="1" w:qFormat="1"/>
    <w:lsdException w:name="heading 9" w:locked="1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42e4f"/>
    <w:pPr>
      <w:widowControl/>
      <w:suppressAutoHyphens w:val="true"/>
      <w:bidi w:val="0"/>
      <w:spacing w:lineRule="auto" w:line="276" w:before="0" w:after="200"/>
      <w:jc w:val="start"/>
    </w:pPr>
    <w:rPr>
      <w:rFonts w:cs="Calibri" w:ascii="Calibri" w:hAnsi="Calibri" w:eastAsia="Calibri"/>
      <w:color w:val="auto"/>
      <w:kern w:val="0"/>
      <w:sz w:val="22"/>
      <w:szCs w:val="22"/>
      <w:lang w:eastAsia="en-US" w:val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uiPriority w:val="99"/>
    <w:qFormat/>
    <w:locked/>
    <w:rsid w:val="00d2793f"/>
    <w:rPr/>
  </w:style>
  <w:style w:type="character" w:styleId="StopkaZnak" w:customStyle="1">
    <w:name w:val="Stopka Znak"/>
    <w:basedOn w:val="DefaultParagraphFont"/>
    <w:uiPriority w:val="99"/>
    <w:qFormat/>
    <w:locked/>
    <w:rsid w:val="00d2793f"/>
    <w:rPr/>
  </w:style>
  <w:style w:type="character" w:styleId="Bold" w:customStyle="1">
    <w:name w:val="Bold"/>
    <w:uiPriority w:val="99"/>
    <w:qFormat/>
    <w:rsid w:val="00e03ed8"/>
    <w:rPr>
      <w:b/>
    </w:rPr>
  </w:style>
  <w:style w:type="character" w:styleId="TekstpodstawowyZnak" w:customStyle="1">
    <w:name w:val="Tekst podstawowy Znak"/>
    <w:basedOn w:val="DefaultParagraphFont"/>
    <w:uiPriority w:val="99"/>
    <w:semiHidden/>
    <w:qFormat/>
    <w:rsid w:val="00e03ed8"/>
    <w:rPr>
      <w:rFonts w:cs="Calibri"/>
      <w:lang w:eastAsia="en-US"/>
    </w:rPr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f1428d"/>
    <w:rPr>
      <w:rFonts w:ascii="Segoe UI" w:hAnsi="Segoe UI" w:cs="Segoe UI"/>
      <w:sz w:val="18"/>
      <w:szCs w:val="18"/>
      <w:lang w:eastAsia="en-US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TekstpodstawowyZnak"/>
    <w:uiPriority w:val="99"/>
    <w:semiHidden/>
    <w:unhideWhenUsed/>
    <w:rsid w:val="00e03ed8"/>
    <w:pPr>
      <w:spacing w:before="0" w:after="12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99"/>
    <w:qFormat/>
    <w:rsid w:val="00d64fd0"/>
    <w:pPr>
      <w:ind w:start="720"/>
    </w:pPr>
    <w:rPr/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rsid w:val="00d2793f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opkaZnak"/>
    <w:uiPriority w:val="99"/>
    <w:rsid w:val="00d2793f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Uchwalatyt" w:customStyle="1">
    <w:name w:val="Uchwala tyt"/>
    <w:basedOn w:val="BodyText"/>
    <w:uiPriority w:val="99"/>
    <w:qFormat/>
    <w:rsid w:val="00e03ed8"/>
    <w:pPr>
      <w:widowControl w:val="false"/>
      <w:tabs>
        <w:tab w:val="clear" w:pos="708"/>
        <w:tab w:val="left" w:pos="432" w:leader="none"/>
      </w:tabs>
      <w:spacing w:lineRule="auto" w:line="288" w:before="0" w:after="57"/>
      <w:jc w:val="center"/>
      <w:textAlignment w:val="baseline"/>
    </w:pPr>
    <w:rPr>
      <w:rFonts w:ascii="MinionPro-Bold" w:hAnsi="MinionPro-Bold" w:eastAsia="Times New Roman" w:cs="MinionPro-Bold"/>
      <w:b/>
      <w:bCs/>
      <w:color w:val="000000"/>
      <w:lang w:eastAsia="pl-PL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f1428d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5AEABB-9661-4973-AC6E-CAC7D3338B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Application>LibreOffice/26.2.5.2$Windows_X86_64 LibreOffice_project/cd7284b4cbbfeb507e630c1aac019f4157393acb</Application>
  <AppVersion>15.0000</AppVersion>
  <Pages>2</Pages>
  <Words>341</Words>
  <Characters>2327</Characters>
  <CharactersWithSpaces>2640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2018-11-26T13:13:00Z</dcterms:created>
  <dc:creator>Księgowa</dc:creator>
  <dc:description/>
  <cp:keywords>zarządzenie; inwentaryzacja; składniki majątkowe</cp:keywords>
  <dc:language>pl-PL</dc:language>
  <cp:lastModifiedBy/>
  <cp:lastPrinted>2026-09-22T10:19:00Z</cp:lastPrinted>
  <dcterms:modified xsi:type="dcterms:W3CDTF">2026-09-22T12:56:10Z</dcterms:modified>
  <cp:revision>20</cp:revision>
  <dc:subject/>
  <dc:title>Zarządz nr 16.2026 inwentaryzacja składników majątkowych w jednostkach - wersja dostępna cyfrowo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