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8520"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33E10826" w14:textId="77777777" w:rsidR="00891A69" w:rsidRDefault="00891A69" w:rsidP="00891A69">
      <w:pPr>
        <w:rPr>
          <w:b/>
          <w:color w:val="2E2014"/>
          <w:sz w:val="24"/>
          <w:szCs w:val="24"/>
        </w:rPr>
      </w:pPr>
    </w:p>
    <w:tbl>
      <w:tblPr>
        <w:tblStyle w:val="Tabela-Siatka"/>
        <w:tblW w:w="15588" w:type="dxa"/>
        <w:tblLayout w:type="fixed"/>
        <w:tblLook w:val="04A0" w:firstRow="1" w:lastRow="0" w:firstColumn="1" w:lastColumn="0" w:noHBand="0" w:noVBand="1"/>
      </w:tblPr>
      <w:tblGrid>
        <w:gridCol w:w="622"/>
        <w:gridCol w:w="14966"/>
      </w:tblGrid>
      <w:tr w:rsidR="00891A69" w14:paraId="5C8DF3C7" w14:textId="77777777" w:rsidTr="000935F8">
        <w:tc>
          <w:tcPr>
            <w:tcW w:w="622" w:type="dxa"/>
          </w:tcPr>
          <w:p w14:paraId="5B026661" w14:textId="77777777" w:rsidR="00891A69" w:rsidRPr="004112BB" w:rsidRDefault="002E703F" w:rsidP="00891A69">
            <w:pPr>
              <w:rPr>
                <w:b/>
                <w:sz w:val="20"/>
                <w:szCs w:val="20"/>
              </w:rPr>
            </w:pPr>
            <w:r w:rsidRPr="004112BB">
              <w:rPr>
                <w:b/>
                <w:sz w:val="20"/>
                <w:szCs w:val="20"/>
              </w:rPr>
              <w:t>I.</w:t>
            </w:r>
          </w:p>
        </w:tc>
        <w:tc>
          <w:tcPr>
            <w:tcW w:w="14966" w:type="dxa"/>
          </w:tcPr>
          <w:p w14:paraId="061E8982"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04668806" w14:textId="77777777" w:rsidTr="000935F8">
        <w:tc>
          <w:tcPr>
            <w:tcW w:w="622" w:type="dxa"/>
          </w:tcPr>
          <w:p w14:paraId="4CCDF1EF" w14:textId="77777777" w:rsidR="00891A69" w:rsidRPr="002E703F" w:rsidRDefault="002E703F" w:rsidP="00891A69">
            <w:pPr>
              <w:rPr>
                <w:sz w:val="20"/>
                <w:szCs w:val="20"/>
              </w:rPr>
            </w:pPr>
            <w:r w:rsidRPr="002E703F">
              <w:rPr>
                <w:sz w:val="20"/>
                <w:szCs w:val="20"/>
              </w:rPr>
              <w:t>1.</w:t>
            </w:r>
          </w:p>
        </w:tc>
        <w:tc>
          <w:tcPr>
            <w:tcW w:w="14966" w:type="dxa"/>
          </w:tcPr>
          <w:p w14:paraId="13C73318" w14:textId="77777777" w:rsidR="00891A69" w:rsidRDefault="00891A69" w:rsidP="00891A69">
            <w:pPr>
              <w:rPr>
                <w:b/>
                <w:sz w:val="24"/>
                <w:szCs w:val="24"/>
              </w:rPr>
            </w:pPr>
          </w:p>
          <w:p w14:paraId="5BFFEE51" w14:textId="77777777" w:rsidR="00C21577" w:rsidRDefault="00C21577" w:rsidP="00891A69">
            <w:pPr>
              <w:rPr>
                <w:b/>
                <w:sz w:val="24"/>
                <w:szCs w:val="24"/>
              </w:rPr>
            </w:pPr>
          </w:p>
        </w:tc>
      </w:tr>
      <w:tr w:rsidR="00891A69" w14:paraId="38D9643F" w14:textId="77777777" w:rsidTr="000935F8">
        <w:tc>
          <w:tcPr>
            <w:tcW w:w="622" w:type="dxa"/>
          </w:tcPr>
          <w:p w14:paraId="6C7D058D" w14:textId="77777777" w:rsidR="00891A69" w:rsidRPr="002E703F" w:rsidRDefault="002E703F" w:rsidP="00891A69">
            <w:pPr>
              <w:rPr>
                <w:sz w:val="20"/>
                <w:szCs w:val="20"/>
              </w:rPr>
            </w:pPr>
            <w:r w:rsidRPr="002E703F">
              <w:rPr>
                <w:sz w:val="20"/>
                <w:szCs w:val="20"/>
              </w:rPr>
              <w:t>1.1</w:t>
            </w:r>
          </w:p>
        </w:tc>
        <w:tc>
          <w:tcPr>
            <w:tcW w:w="14966" w:type="dxa"/>
          </w:tcPr>
          <w:p w14:paraId="134AD4FB" w14:textId="77777777" w:rsidR="00891A69" w:rsidRDefault="002E703F" w:rsidP="00891A69">
            <w:pPr>
              <w:rPr>
                <w:b/>
                <w:sz w:val="24"/>
                <w:szCs w:val="24"/>
              </w:rPr>
            </w:pPr>
            <w:r>
              <w:rPr>
                <w:color w:val="2E2014"/>
                <w:sz w:val="20"/>
                <w:szCs w:val="20"/>
              </w:rPr>
              <w:t>nazwę jednostki</w:t>
            </w:r>
          </w:p>
        </w:tc>
      </w:tr>
      <w:tr w:rsidR="00891A69" w14:paraId="1F21686D" w14:textId="77777777" w:rsidTr="000935F8">
        <w:tc>
          <w:tcPr>
            <w:tcW w:w="622" w:type="dxa"/>
          </w:tcPr>
          <w:p w14:paraId="06E78E2C" w14:textId="77777777" w:rsidR="00891A69" w:rsidRDefault="00891A69" w:rsidP="00891A69">
            <w:pPr>
              <w:rPr>
                <w:b/>
                <w:sz w:val="24"/>
                <w:szCs w:val="24"/>
              </w:rPr>
            </w:pPr>
          </w:p>
        </w:tc>
        <w:tc>
          <w:tcPr>
            <w:tcW w:w="14966" w:type="dxa"/>
          </w:tcPr>
          <w:p w14:paraId="7C45D3D2" w14:textId="77777777" w:rsidR="00C21577" w:rsidRDefault="00C21577" w:rsidP="00891A69">
            <w:pPr>
              <w:rPr>
                <w:rFonts w:ascii="Arial Narrow" w:hAnsi="Arial Narrow"/>
                <w:b/>
              </w:rPr>
            </w:pPr>
          </w:p>
          <w:p w14:paraId="1DDC1514" w14:textId="77777777" w:rsidR="00891A69" w:rsidRPr="006437DF" w:rsidRDefault="008079ED" w:rsidP="00891A69">
            <w:pPr>
              <w:rPr>
                <w:rFonts w:ascii="Arial Narrow" w:hAnsi="Arial Narrow"/>
                <w:b/>
              </w:rPr>
            </w:pPr>
            <w:r>
              <w:rPr>
                <w:rFonts w:ascii="Arial Narrow" w:hAnsi="Arial Narrow"/>
                <w:b/>
              </w:rPr>
              <w:t>Zespół Szkół Budowlanych</w:t>
            </w:r>
          </w:p>
        </w:tc>
      </w:tr>
      <w:tr w:rsidR="00891A69" w14:paraId="7720C646" w14:textId="77777777" w:rsidTr="000935F8">
        <w:tc>
          <w:tcPr>
            <w:tcW w:w="622" w:type="dxa"/>
          </w:tcPr>
          <w:p w14:paraId="5FAFCE00" w14:textId="77777777" w:rsidR="00891A69" w:rsidRPr="002E703F" w:rsidRDefault="002E703F" w:rsidP="00891A69">
            <w:pPr>
              <w:rPr>
                <w:sz w:val="20"/>
                <w:szCs w:val="20"/>
              </w:rPr>
            </w:pPr>
            <w:r w:rsidRPr="002E703F">
              <w:rPr>
                <w:sz w:val="20"/>
                <w:szCs w:val="20"/>
              </w:rPr>
              <w:t>1.2</w:t>
            </w:r>
          </w:p>
        </w:tc>
        <w:tc>
          <w:tcPr>
            <w:tcW w:w="14966" w:type="dxa"/>
          </w:tcPr>
          <w:p w14:paraId="767EBCE0" w14:textId="77777777" w:rsidR="00891A69" w:rsidRDefault="002E703F" w:rsidP="00891A69">
            <w:pPr>
              <w:rPr>
                <w:b/>
                <w:sz w:val="24"/>
                <w:szCs w:val="24"/>
              </w:rPr>
            </w:pPr>
            <w:r>
              <w:rPr>
                <w:color w:val="2E2014"/>
                <w:sz w:val="20"/>
                <w:szCs w:val="20"/>
              </w:rPr>
              <w:t>siedzibę jednostki</w:t>
            </w:r>
          </w:p>
        </w:tc>
      </w:tr>
      <w:tr w:rsidR="00891A69" w14:paraId="58B086A8" w14:textId="77777777" w:rsidTr="000935F8">
        <w:tc>
          <w:tcPr>
            <w:tcW w:w="622" w:type="dxa"/>
          </w:tcPr>
          <w:p w14:paraId="3F6350A8" w14:textId="77777777" w:rsidR="00891A69" w:rsidRDefault="00891A69" w:rsidP="00891A69">
            <w:pPr>
              <w:rPr>
                <w:b/>
                <w:sz w:val="24"/>
                <w:szCs w:val="24"/>
              </w:rPr>
            </w:pPr>
          </w:p>
        </w:tc>
        <w:tc>
          <w:tcPr>
            <w:tcW w:w="14966" w:type="dxa"/>
          </w:tcPr>
          <w:p w14:paraId="601A2627" w14:textId="77777777" w:rsidR="00891A69" w:rsidRDefault="00891A69" w:rsidP="00891A69">
            <w:pPr>
              <w:rPr>
                <w:b/>
                <w:sz w:val="24"/>
                <w:szCs w:val="24"/>
              </w:rPr>
            </w:pPr>
          </w:p>
          <w:p w14:paraId="6636A04D" w14:textId="77777777" w:rsidR="00C21577" w:rsidRDefault="008079ED" w:rsidP="00891A69">
            <w:pPr>
              <w:rPr>
                <w:b/>
                <w:sz w:val="24"/>
                <w:szCs w:val="24"/>
              </w:rPr>
            </w:pPr>
            <w:r>
              <w:rPr>
                <w:b/>
                <w:sz w:val="24"/>
                <w:szCs w:val="24"/>
              </w:rPr>
              <w:t>87-800 Włocławek ul. Nowomiejska 25</w:t>
            </w:r>
          </w:p>
        </w:tc>
      </w:tr>
      <w:tr w:rsidR="00891A69" w14:paraId="5A5E365E" w14:textId="77777777" w:rsidTr="000935F8">
        <w:tc>
          <w:tcPr>
            <w:tcW w:w="622" w:type="dxa"/>
          </w:tcPr>
          <w:p w14:paraId="072ACF53" w14:textId="77777777" w:rsidR="00891A69" w:rsidRPr="002E703F" w:rsidRDefault="002E703F" w:rsidP="00891A69">
            <w:pPr>
              <w:rPr>
                <w:sz w:val="20"/>
                <w:szCs w:val="20"/>
              </w:rPr>
            </w:pPr>
            <w:r w:rsidRPr="002E703F">
              <w:rPr>
                <w:sz w:val="20"/>
                <w:szCs w:val="20"/>
              </w:rPr>
              <w:t>1.3</w:t>
            </w:r>
          </w:p>
        </w:tc>
        <w:tc>
          <w:tcPr>
            <w:tcW w:w="14966" w:type="dxa"/>
          </w:tcPr>
          <w:p w14:paraId="10605309" w14:textId="77777777" w:rsidR="00891A69" w:rsidRDefault="002E703F" w:rsidP="00891A69">
            <w:pPr>
              <w:rPr>
                <w:b/>
                <w:sz w:val="24"/>
                <w:szCs w:val="24"/>
              </w:rPr>
            </w:pPr>
            <w:r>
              <w:rPr>
                <w:color w:val="2E2014"/>
                <w:sz w:val="20"/>
                <w:szCs w:val="20"/>
              </w:rPr>
              <w:t>adres jednostki</w:t>
            </w:r>
          </w:p>
        </w:tc>
      </w:tr>
      <w:tr w:rsidR="00891A69" w14:paraId="756BD88B" w14:textId="77777777" w:rsidTr="000935F8">
        <w:tc>
          <w:tcPr>
            <w:tcW w:w="622" w:type="dxa"/>
          </w:tcPr>
          <w:p w14:paraId="6B589388" w14:textId="77777777" w:rsidR="00891A69" w:rsidRDefault="00891A69" w:rsidP="00891A69">
            <w:pPr>
              <w:rPr>
                <w:b/>
                <w:sz w:val="24"/>
                <w:szCs w:val="24"/>
              </w:rPr>
            </w:pPr>
          </w:p>
        </w:tc>
        <w:tc>
          <w:tcPr>
            <w:tcW w:w="14966" w:type="dxa"/>
          </w:tcPr>
          <w:p w14:paraId="4020AB03" w14:textId="77777777" w:rsidR="00891A69" w:rsidRDefault="00891A69" w:rsidP="00891A69">
            <w:pPr>
              <w:rPr>
                <w:b/>
                <w:sz w:val="24"/>
                <w:szCs w:val="24"/>
              </w:rPr>
            </w:pPr>
          </w:p>
          <w:p w14:paraId="404D6D6E" w14:textId="77777777" w:rsidR="00C21577" w:rsidRDefault="008079ED" w:rsidP="00891A69">
            <w:pPr>
              <w:rPr>
                <w:b/>
                <w:sz w:val="24"/>
                <w:szCs w:val="24"/>
              </w:rPr>
            </w:pPr>
            <w:r>
              <w:rPr>
                <w:b/>
                <w:sz w:val="24"/>
                <w:szCs w:val="24"/>
              </w:rPr>
              <w:t>87-800 Włocławek ul. Nowomiejska 25</w:t>
            </w:r>
          </w:p>
        </w:tc>
      </w:tr>
      <w:tr w:rsidR="00891A69" w14:paraId="0F49E142" w14:textId="77777777" w:rsidTr="000935F8">
        <w:tc>
          <w:tcPr>
            <w:tcW w:w="622" w:type="dxa"/>
          </w:tcPr>
          <w:p w14:paraId="455F468E" w14:textId="77777777" w:rsidR="00891A69" w:rsidRPr="002E703F" w:rsidRDefault="002E703F" w:rsidP="00891A69">
            <w:pPr>
              <w:rPr>
                <w:sz w:val="20"/>
                <w:szCs w:val="20"/>
              </w:rPr>
            </w:pPr>
            <w:r w:rsidRPr="002E703F">
              <w:rPr>
                <w:sz w:val="20"/>
                <w:szCs w:val="20"/>
              </w:rPr>
              <w:t>1.4</w:t>
            </w:r>
          </w:p>
        </w:tc>
        <w:tc>
          <w:tcPr>
            <w:tcW w:w="14966" w:type="dxa"/>
          </w:tcPr>
          <w:p w14:paraId="73228B60" w14:textId="77777777" w:rsidR="00891A69" w:rsidRDefault="002E703F" w:rsidP="00891A69">
            <w:pPr>
              <w:rPr>
                <w:b/>
                <w:sz w:val="24"/>
                <w:szCs w:val="24"/>
              </w:rPr>
            </w:pPr>
            <w:r>
              <w:rPr>
                <w:color w:val="2E2014"/>
                <w:sz w:val="20"/>
                <w:szCs w:val="20"/>
              </w:rPr>
              <w:t>podstawowy przedmiot działalności jednostki</w:t>
            </w:r>
          </w:p>
        </w:tc>
      </w:tr>
      <w:tr w:rsidR="00891A69" w14:paraId="3932ABF8" w14:textId="77777777" w:rsidTr="000935F8">
        <w:tc>
          <w:tcPr>
            <w:tcW w:w="622" w:type="dxa"/>
          </w:tcPr>
          <w:p w14:paraId="20534C5D" w14:textId="77777777" w:rsidR="00891A69" w:rsidRPr="00AD2386" w:rsidRDefault="00891A69" w:rsidP="00891A69">
            <w:pPr>
              <w:rPr>
                <w:sz w:val="20"/>
                <w:szCs w:val="20"/>
              </w:rPr>
            </w:pPr>
          </w:p>
        </w:tc>
        <w:tc>
          <w:tcPr>
            <w:tcW w:w="14966" w:type="dxa"/>
          </w:tcPr>
          <w:p w14:paraId="36A545C8" w14:textId="77777777" w:rsidR="00891A69" w:rsidRDefault="00891A69" w:rsidP="00891A69">
            <w:pPr>
              <w:rPr>
                <w:b/>
                <w:sz w:val="24"/>
                <w:szCs w:val="24"/>
              </w:rPr>
            </w:pPr>
          </w:p>
          <w:p w14:paraId="7D72D3C2" w14:textId="77777777" w:rsidR="00C21577" w:rsidRDefault="00BF1E92" w:rsidP="00891A69">
            <w:pPr>
              <w:rPr>
                <w:b/>
                <w:sz w:val="24"/>
                <w:szCs w:val="24"/>
              </w:rPr>
            </w:pPr>
            <w:r>
              <w:rPr>
                <w:b/>
                <w:sz w:val="24"/>
                <w:szCs w:val="24"/>
              </w:rPr>
              <w:t>Szkoły prowadzące kształcenie zawodowe z wyłączeniem szkół policealnych</w:t>
            </w:r>
          </w:p>
        </w:tc>
      </w:tr>
      <w:tr w:rsidR="00891A69" w14:paraId="6C1776E4" w14:textId="77777777" w:rsidTr="000935F8">
        <w:tc>
          <w:tcPr>
            <w:tcW w:w="622" w:type="dxa"/>
          </w:tcPr>
          <w:p w14:paraId="67FC118C" w14:textId="77777777" w:rsidR="00891A69" w:rsidRPr="00AD2386" w:rsidRDefault="00AD2386" w:rsidP="00891A69">
            <w:pPr>
              <w:rPr>
                <w:sz w:val="20"/>
                <w:szCs w:val="20"/>
              </w:rPr>
            </w:pPr>
            <w:r>
              <w:rPr>
                <w:sz w:val="20"/>
                <w:szCs w:val="20"/>
              </w:rPr>
              <w:t>2.</w:t>
            </w:r>
          </w:p>
        </w:tc>
        <w:tc>
          <w:tcPr>
            <w:tcW w:w="14966" w:type="dxa"/>
          </w:tcPr>
          <w:p w14:paraId="4C3A1A80" w14:textId="77777777" w:rsidR="00891A69" w:rsidRDefault="00AD2386" w:rsidP="00891A69">
            <w:pPr>
              <w:rPr>
                <w:b/>
                <w:sz w:val="24"/>
                <w:szCs w:val="24"/>
              </w:rPr>
            </w:pPr>
            <w:r>
              <w:rPr>
                <w:color w:val="2E2014"/>
                <w:sz w:val="20"/>
                <w:szCs w:val="20"/>
              </w:rPr>
              <w:t>wskazanie okresu objętego sprawozdaniem</w:t>
            </w:r>
          </w:p>
        </w:tc>
      </w:tr>
      <w:tr w:rsidR="00891A69" w14:paraId="1C352DFA" w14:textId="77777777" w:rsidTr="000935F8">
        <w:tc>
          <w:tcPr>
            <w:tcW w:w="622" w:type="dxa"/>
          </w:tcPr>
          <w:p w14:paraId="5B38F33A" w14:textId="77777777" w:rsidR="00891A69" w:rsidRPr="00AD2386" w:rsidRDefault="00891A69" w:rsidP="00891A69">
            <w:pPr>
              <w:rPr>
                <w:sz w:val="20"/>
                <w:szCs w:val="20"/>
              </w:rPr>
            </w:pPr>
          </w:p>
        </w:tc>
        <w:tc>
          <w:tcPr>
            <w:tcW w:w="14966" w:type="dxa"/>
          </w:tcPr>
          <w:p w14:paraId="32D7CF37" w14:textId="527D55A1" w:rsidR="00891A69" w:rsidRPr="006437DF" w:rsidRDefault="006437DF" w:rsidP="00154F63">
            <w:pPr>
              <w:rPr>
                <w:rFonts w:ascii="Arial Narrow" w:hAnsi="Arial Narrow"/>
                <w:b/>
              </w:rPr>
            </w:pPr>
            <w:r w:rsidRPr="006437DF">
              <w:rPr>
                <w:rFonts w:ascii="Arial Narrow" w:hAnsi="Arial Narrow"/>
                <w:b/>
              </w:rPr>
              <w:t>01 stycznia 20</w:t>
            </w:r>
            <w:r w:rsidR="007D342D">
              <w:rPr>
                <w:rFonts w:ascii="Arial Narrow" w:hAnsi="Arial Narrow"/>
                <w:b/>
              </w:rPr>
              <w:t>2</w:t>
            </w:r>
            <w:r w:rsidR="009860AA">
              <w:rPr>
                <w:rFonts w:ascii="Arial Narrow" w:hAnsi="Arial Narrow"/>
                <w:b/>
              </w:rPr>
              <w:t>5</w:t>
            </w:r>
            <w:r w:rsidRPr="006437DF">
              <w:rPr>
                <w:rFonts w:ascii="Arial Narrow" w:hAnsi="Arial Narrow"/>
                <w:b/>
              </w:rPr>
              <w:t xml:space="preserve"> -</w:t>
            </w:r>
            <w:r w:rsidR="009860AA">
              <w:rPr>
                <w:rFonts w:ascii="Arial Narrow" w:hAnsi="Arial Narrow"/>
                <w:b/>
              </w:rPr>
              <w:t xml:space="preserve"> </w:t>
            </w:r>
            <w:r w:rsidRPr="006437DF">
              <w:rPr>
                <w:rFonts w:ascii="Arial Narrow" w:hAnsi="Arial Narrow"/>
                <w:b/>
              </w:rPr>
              <w:t>31 grudnia 20</w:t>
            </w:r>
            <w:r w:rsidR="007D342D">
              <w:rPr>
                <w:rFonts w:ascii="Arial Narrow" w:hAnsi="Arial Narrow"/>
                <w:b/>
              </w:rPr>
              <w:t>2</w:t>
            </w:r>
            <w:r w:rsidR="009860AA">
              <w:rPr>
                <w:rFonts w:ascii="Arial Narrow" w:hAnsi="Arial Narrow"/>
                <w:b/>
              </w:rPr>
              <w:t>5</w:t>
            </w:r>
          </w:p>
        </w:tc>
      </w:tr>
      <w:tr w:rsidR="00891A69" w14:paraId="12FD23A4" w14:textId="77777777" w:rsidTr="000935F8">
        <w:tc>
          <w:tcPr>
            <w:tcW w:w="622" w:type="dxa"/>
          </w:tcPr>
          <w:p w14:paraId="3F317DC0" w14:textId="77777777" w:rsidR="00891A69" w:rsidRPr="00AD2386" w:rsidRDefault="00AD2386" w:rsidP="00891A69">
            <w:pPr>
              <w:rPr>
                <w:sz w:val="20"/>
                <w:szCs w:val="20"/>
              </w:rPr>
            </w:pPr>
            <w:r>
              <w:rPr>
                <w:sz w:val="20"/>
                <w:szCs w:val="20"/>
              </w:rPr>
              <w:t>3.</w:t>
            </w:r>
          </w:p>
        </w:tc>
        <w:tc>
          <w:tcPr>
            <w:tcW w:w="14966" w:type="dxa"/>
          </w:tcPr>
          <w:p w14:paraId="68B215D9"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44D30F3D" w14:textId="77777777" w:rsidTr="000935F8">
        <w:tc>
          <w:tcPr>
            <w:tcW w:w="622" w:type="dxa"/>
          </w:tcPr>
          <w:p w14:paraId="144CFD15" w14:textId="77777777" w:rsidR="00891A69" w:rsidRPr="00AD2386" w:rsidRDefault="00891A69" w:rsidP="00891A69">
            <w:pPr>
              <w:rPr>
                <w:sz w:val="20"/>
                <w:szCs w:val="20"/>
              </w:rPr>
            </w:pPr>
          </w:p>
        </w:tc>
        <w:tc>
          <w:tcPr>
            <w:tcW w:w="14966" w:type="dxa"/>
          </w:tcPr>
          <w:p w14:paraId="6895D270" w14:textId="77777777" w:rsidR="00891A69" w:rsidRDefault="00891A69" w:rsidP="00891A69">
            <w:pPr>
              <w:rPr>
                <w:b/>
                <w:sz w:val="24"/>
                <w:szCs w:val="24"/>
              </w:rPr>
            </w:pPr>
          </w:p>
          <w:p w14:paraId="56B6FB49" w14:textId="77777777" w:rsidR="00C21577" w:rsidRDefault="00C21577" w:rsidP="00891A69">
            <w:pPr>
              <w:rPr>
                <w:b/>
                <w:sz w:val="24"/>
                <w:szCs w:val="24"/>
              </w:rPr>
            </w:pPr>
          </w:p>
        </w:tc>
      </w:tr>
      <w:tr w:rsidR="00891A69" w14:paraId="1AFB75AF" w14:textId="77777777" w:rsidTr="000935F8">
        <w:tc>
          <w:tcPr>
            <w:tcW w:w="622" w:type="dxa"/>
          </w:tcPr>
          <w:p w14:paraId="6FFC6A54" w14:textId="77777777" w:rsidR="00891A69" w:rsidRPr="00AD2386" w:rsidRDefault="00AD2386" w:rsidP="00891A69">
            <w:pPr>
              <w:rPr>
                <w:sz w:val="20"/>
                <w:szCs w:val="20"/>
              </w:rPr>
            </w:pPr>
            <w:r>
              <w:rPr>
                <w:sz w:val="20"/>
                <w:szCs w:val="20"/>
              </w:rPr>
              <w:t>4.</w:t>
            </w:r>
          </w:p>
        </w:tc>
        <w:tc>
          <w:tcPr>
            <w:tcW w:w="14966" w:type="dxa"/>
          </w:tcPr>
          <w:p w14:paraId="41880A2F"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6EEAB707" w14:textId="77777777" w:rsidTr="000935F8">
        <w:tc>
          <w:tcPr>
            <w:tcW w:w="622" w:type="dxa"/>
          </w:tcPr>
          <w:p w14:paraId="3BDE6E6D" w14:textId="77777777" w:rsidR="00891A69" w:rsidRDefault="00891A69" w:rsidP="00891A69">
            <w:pPr>
              <w:rPr>
                <w:b/>
                <w:sz w:val="24"/>
                <w:szCs w:val="24"/>
              </w:rPr>
            </w:pPr>
          </w:p>
        </w:tc>
        <w:tc>
          <w:tcPr>
            <w:tcW w:w="14966" w:type="dxa"/>
          </w:tcPr>
          <w:p w14:paraId="5F3F19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12CB9F8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28B41AD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2077972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26EEB19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2E1F184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79F3981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14:paraId="111E6F9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57ABC76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740D8232"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4548B8D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11E6FF1F"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65D60FE4"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602C908B"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28B201D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4FFE14D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61722D4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743F1CCF" w14:textId="77777777" w:rsidR="008219E0" w:rsidRPr="00C21577" w:rsidRDefault="00C21577" w:rsidP="003C210E">
            <w:pPr>
              <w:autoSpaceDE w:val="0"/>
              <w:autoSpaceDN w:val="0"/>
              <w:adjustRightInd w:val="0"/>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Środki dydaktyczne służące procesowi dydaktyczno-wychowawczemu realizowanemu w szkołach i placówkach oświatowych.</w:t>
            </w:r>
          </w:p>
          <w:p w14:paraId="3441174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4025DB6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075DC5A6"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37427A1"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0A21196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32D8CDC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425A1B3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15D2C60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5202D09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5109A5A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7A2494E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6870C28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48E3647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56924EF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45EC783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14:paraId="1BCC434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księgi pomocnicze (analityczne),</w:t>
            </w:r>
          </w:p>
          <w:p w14:paraId="063CB85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6279472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61ACC4E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3C0A517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72E43EF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395133F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7B42A20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464FD67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7FE2817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2F8EB3D0" w14:textId="77777777" w:rsidR="008219E0" w:rsidRPr="00C21577" w:rsidRDefault="008219E0" w:rsidP="003C210E">
            <w:pPr>
              <w:autoSpaceDE w:val="0"/>
              <w:autoSpaceDN w:val="0"/>
              <w:adjustRightInd w:val="0"/>
              <w:jc w:val="both"/>
              <w:rPr>
                <w:rFonts w:ascii="Arial Narrow" w:hAnsi="Arial Narrow" w:cstheme="minorHAnsi"/>
              </w:rPr>
            </w:pPr>
            <w:r w:rsidRPr="00C21577">
              <w:rPr>
                <w:rFonts w:ascii="Arial Narrow" w:hAnsi="Arial Narrow" w:cstheme="minorHAnsi"/>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109501E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3F772F3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5A5A6C0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59F01539"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6A6B1820"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29897D7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1A9ED8A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5AEB699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143FCD8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6EBBB86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329E793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049D5AE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23B4DF3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6CE3A9D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19) Dopuszcza się księgowanie bezpośrednio w koszty wartości zużycia materiałów pozostałych, a pozostające na koniec roku zapasy zostaną objęte korektą kosztów w odniesieniu na magazyn (konto 310).</w:t>
            </w:r>
          </w:p>
          <w:p w14:paraId="74F6FEF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42A0E2C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31291F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11B3BD5A"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3773ECCE"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75505CC5"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2703EBC7"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5C78EEA8"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26689A2B"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15EF361F"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14FBF637"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2121633D"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18E8EB09"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3A8D83D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6208E66A" w14:textId="77777777" w:rsidR="00CE6DD1" w:rsidRPr="00C21577" w:rsidRDefault="00CE6DD1" w:rsidP="008219E0">
            <w:pPr>
              <w:autoSpaceDE w:val="0"/>
              <w:autoSpaceDN w:val="0"/>
              <w:adjustRightInd w:val="0"/>
              <w:jc w:val="both"/>
              <w:rPr>
                <w:rFonts w:ascii="Arial Narrow" w:hAnsi="Arial Narrow" w:cstheme="minorHAnsi"/>
              </w:rPr>
            </w:pPr>
          </w:p>
          <w:p w14:paraId="0A7C59A3"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5F876F9F"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69D20372"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38DB20B4"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49826FA2"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2C017651"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4F24BA72"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4F118A05" w14:textId="77777777" w:rsidR="008219E0" w:rsidRPr="00C21577" w:rsidRDefault="008219E0" w:rsidP="003C210E">
            <w:pPr>
              <w:autoSpaceDE w:val="0"/>
              <w:autoSpaceDN w:val="0"/>
              <w:adjustRightInd w:val="0"/>
              <w:contextualSpacing/>
              <w:rPr>
                <w:rFonts w:ascii="Arial Narrow" w:hAnsi="Arial Narrow" w:cstheme="minorHAnsi"/>
              </w:rPr>
            </w:pPr>
            <w:r w:rsidRPr="00C21577">
              <w:rPr>
                <w:rFonts w:ascii="Arial Narrow" w:hAnsi="Arial Narrow" w:cstheme="minorHAnsi"/>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6EE8BD27" w14:textId="77777777" w:rsidR="008219E0" w:rsidRPr="00C21577" w:rsidRDefault="008219E0" w:rsidP="003C210E">
            <w:pPr>
              <w:autoSpaceDE w:val="0"/>
              <w:autoSpaceDN w:val="0"/>
              <w:adjustRightInd w:val="0"/>
              <w:rPr>
                <w:rFonts w:ascii="Arial Narrow" w:hAnsi="Arial Narrow" w:cstheme="minorHAnsi"/>
              </w:rPr>
            </w:pPr>
            <w:r w:rsidRPr="00C21577">
              <w:rPr>
                <w:rFonts w:ascii="Arial Narrow" w:hAnsi="Arial Narrow" w:cstheme="minorHAnsi"/>
              </w:rPr>
              <w:t>h) Odsetki od należności, ujmuje się w księgach rachunkowych w momencie ich zapłaty lub na koniec kwartału w wysokości odsetek należnych na koniec tego kwartału.</w:t>
            </w:r>
          </w:p>
          <w:p w14:paraId="71AD6B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24F331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20C829C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39F6A1E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45AD53F6" w14:textId="77777777" w:rsidR="00351097" w:rsidRPr="00351097" w:rsidRDefault="00351097" w:rsidP="00351097">
            <w:pPr>
              <w:rPr>
                <w:rFonts w:ascii="Arial Narrow" w:eastAsia="Times New Roman" w:hAnsi="Arial Narrow" w:cs="Times New Roman"/>
                <w:sz w:val="24"/>
                <w:szCs w:val="24"/>
                <w:lang w:eastAsia="pl-PL"/>
              </w:rPr>
            </w:pPr>
            <w:r w:rsidRPr="00351097">
              <w:rPr>
                <w:rFonts w:ascii="Arial Narrow" w:eastAsia="Times New Roman" w:hAnsi="Arial Narrow" w:cs="Times New Roman"/>
                <w:sz w:val="24"/>
                <w:szCs w:val="24"/>
                <w:lang w:eastAsia="pl-PL"/>
              </w:rPr>
              <w:t xml:space="preserve">1.Z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 </w:t>
            </w:r>
          </w:p>
          <w:p w14:paraId="257ADDAF" w14:textId="77777777" w:rsidR="00351097" w:rsidRPr="00351097" w:rsidRDefault="00351097" w:rsidP="00351097">
            <w:pPr>
              <w:rPr>
                <w:rFonts w:ascii="Arial Narrow" w:eastAsia="Times New Roman" w:hAnsi="Arial Narrow" w:cs="Times New Roman"/>
                <w:sz w:val="24"/>
                <w:szCs w:val="24"/>
                <w:lang w:eastAsia="pl-PL"/>
              </w:rPr>
            </w:pPr>
            <w:r w:rsidRPr="00351097">
              <w:rPr>
                <w:rFonts w:ascii="Arial Narrow" w:eastAsia="Times New Roman" w:hAnsi="Arial Narrow" w:cs="Times New Roman"/>
                <w:sz w:val="24"/>
                <w:szCs w:val="24"/>
                <w:lang w:eastAsia="pl-PL"/>
              </w:rPr>
              <w:t xml:space="preserve">W celu realizacji MPP (Mechanizm Podzielonej Płatności)wydzielono w księgach rachunkowych dodatkowe konta analityczne " VAT".   </w:t>
            </w:r>
          </w:p>
          <w:p w14:paraId="759749D4" w14:textId="77777777" w:rsidR="00351097" w:rsidRPr="00351097" w:rsidRDefault="00351097" w:rsidP="008219E0">
            <w:pPr>
              <w:autoSpaceDE w:val="0"/>
              <w:autoSpaceDN w:val="0"/>
              <w:adjustRightInd w:val="0"/>
              <w:jc w:val="both"/>
              <w:rPr>
                <w:rFonts w:ascii="Arial Narrow" w:hAnsi="Arial Narrow" w:cstheme="minorHAnsi"/>
                <w:b/>
                <w:bCs/>
              </w:rPr>
            </w:pPr>
          </w:p>
          <w:p w14:paraId="47F84041"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19C5C95E"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53CAE720"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2A119782" w14:textId="77777777" w:rsidR="008219E0" w:rsidRPr="00C21577" w:rsidRDefault="008219E0" w:rsidP="003C210E">
            <w:pPr>
              <w:autoSpaceDE w:val="0"/>
              <w:autoSpaceDN w:val="0"/>
              <w:adjustRightInd w:val="0"/>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Sp.</w:t>
            </w:r>
            <w:r w:rsidR="003C210E">
              <w:rPr>
                <w:rFonts w:ascii="Arial Narrow" w:hAnsi="Arial Narrow" w:cstheme="minorHAnsi"/>
              </w:rPr>
              <w:t xml:space="preserve"> </w:t>
            </w:r>
            <w:r w:rsidRPr="00C21577">
              <w:rPr>
                <w:rFonts w:ascii="Arial Narrow" w:hAnsi="Arial Narrow" w:cstheme="minorHAnsi"/>
              </w:rPr>
              <w:t xml:space="preserve">z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14:paraId="7FEE2ABE" w14:textId="77777777" w:rsidR="00891A69" w:rsidRPr="00C21577" w:rsidRDefault="00891A69" w:rsidP="00891A69">
            <w:pPr>
              <w:rPr>
                <w:rFonts w:ascii="Arial Narrow" w:hAnsi="Arial Narrow" w:cstheme="minorHAnsi"/>
                <w:b/>
              </w:rPr>
            </w:pPr>
          </w:p>
        </w:tc>
      </w:tr>
      <w:tr w:rsidR="00891A69" w14:paraId="216DF224" w14:textId="77777777" w:rsidTr="000935F8">
        <w:tc>
          <w:tcPr>
            <w:tcW w:w="622" w:type="dxa"/>
          </w:tcPr>
          <w:p w14:paraId="3D7C790F"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966" w:type="dxa"/>
          </w:tcPr>
          <w:p w14:paraId="6B3D157B" w14:textId="77777777" w:rsidR="00891A69" w:rsidRDefault="004E729C" w:rsidP="00891A69">
            <w:pPr>
              <w:rPr>
                <w:b/>
                <w:sz w:val="24"/>
                <w:szCs w:val="24"/>
              </w:rPr>
            </w:pPr>
            <w:r>
              <w:rPr>
                <w:color w:val="2E2014"/>
                <w:sz w:val="20"/>
                <w:szCs w:val="20"/>
              </w:rPr>
              <w:t>inne informacje</w:t>
            </w:r>
          </w:p>
        </w:tc>
      </w:tr>
      <w:tr w:rsidR="00891A69" w14:paraId="13299160" w14:textId="77777777" w:rsidTr="000935F8">
        <w:tc>
          <w:tcPr>
            <w:tcW w:w="622" w:type="dxa"/>
          </w:tcPr>
          <w:p w14:paraId="11EF1CA2" w14:textId="77777777" w:rsidR="00891A69" w:rsidRPr="004E729C" w:rsidRDefault="00891A69" w:rsidP="00891A69">
            <w:pPr>
              <w:rPr>
                <w:rFonts w:cstheme="minorHAnsi"/>
                <w:sz w:val="20"/>
                <w:szCs w:val="20"/>
              </w:rPr>
            </w:pPr>
          </w:p>
        </w:tc>
        <w:tc>
          <w:tcPr>
            <w:tcW w:w="14966" w:type="dxa"/>
          </w:tcPr>
          <w:p w14:paraId="1D2A2641" w14:textId="77777777" w:rsidR="00891A69" w:rsidRDefault="00891A69" w:rsidP="00891A69">
            <w:pPr>
              <w:rPr>
                <w:b/>
                <w:sz w:val="24"/>
                <w:szCs w:val="24"/>
              </w:rPr>
            </w:pPr>
          </w:p>
          <w:p w14:paraId="750A5650" w14:textId="77777777" w:rsidR="009572FF" w:rsidRDefault="009572FF" w:rsidP="00891A69">
            <w:pPr>
              <w:rPr>
                <w:b/>
                <w:sz w:val="24"/>
                <w:szCs w:val="24"/>
              </w:rPr>
            </w:pPr>
          </w:p>
          <w:p w14:paraId="289E3EF0" w14:textId="77777777" w:rsidR="009572FF" w:rsidRDefault="009572FF" w:rsidP="00891A69">
            <w:pPr>
              <w:rPr>
                <w:b/>
                <w:sz w:val="24"/>
                <w:szCs w:val="24"/>
              </w:rPr>
            </w:pPr>
          </w:p>
          <w:p w14:paraId="59E14B09" w14:textId="77777777" w:rsidR="009572FF" w:rsidRDefault="009572FF" w:rsidP="00891A69">
            <w:pPr>
              <w:rPr>
                <w:b/>
                <w:sz w:val="24"/>
                <w:szCs w:val="24"/>
              </w:rPr>
            </w:pPr>
          </w:p>
          <w:p w14:paraId="33088DE8" w14:textId="77777777" w:rsidR="009572FF" w:rsidRDefault="009572FF" w:rsidP="00891A69">
            <w:pPr>
              <w:rPr>
                <w:b/>
                <w:sz w:val="24"/>
                <w:szCs w:val="24"/>
              </w:rPr>
            </w:pPr>
          </w:p>
          <w:p w14:paraId="6A38DDDD" w14:textId="77777777" w:rsidR="009572FF" w:rsidRDefault="009572FF" w:rsidP="00891A69">
            <w:pPr>
              <w:rPr>
                <w:b/>
                <w:sz w:val="24"/>
                <w:szCs w:val="24"/>
              </w:rPr>
            </w:pPr>
          </w:p>
          <w:p w14:paraId="22A4464C" w14:textId="77777777" w:rsidR="00C21577" w:rsidRDefault="00C21577" w:rsidP="00891A69">
            <w:pPr>
              <w:rPr>
                <w:b/>
                <w:sz w:val="24"/>
                <w:szCs w:val="24"/>
              </w:rPr>
            </w:pPr>
          </w:p>
        </w:tc>
      </w:tr>
      <w:tr w:rsidR="00891A69" w14:paraId="7BFB6648" w14:textId="77777777" w:rsidTr="000935F8">
        <w:tc>
          <w:tcPr>
            <w:tcW w:w="622" w:type="dxa"/>
          </w:tcPr>
          <w:p w14:paraId="3CBAD975"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4966" w:type="dxa"/>
          </w:tcPr>
          <w:p w14:paraId="67351F37"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51BDF35C" w14:textId="77777777" w:rsidTr="000935F8">
        <w:tc>
          <w:tcPr>
            <w:tcW w:w="622" w:type="dxa"/>
          </w:tcPr>
          <w:p w14:paraId="768FC82C" w14:textId="77777777" w:rsidR="00891A69" w:rsidRPr="004E729C" w:rsidRDefault="004112BB" w:rsidP="00891A69">
            <w:pPr>
              <w:rPr>
                <w:rFonts w:cstheme="minorHAnsi"/>
                <w:sz w:val="20"/>
                <w:szCs w:val="20"/>
              </w:rPr>
            </w:pPr>
            <w:r>
              <w:rPr>
                <w:rFonts w:cstheme="minorHAnsi"/>
                <w:sz w:val="20"/>
                <w:szCs w:val="20"/>
              </w:rPr>
              <w:t>1.</w:t>
            </w:r>
          </w:p>
        </w:tc>
        <w:tc>
          <w:tcPr>
            <w:tcW w:w="14966" w:type="dxa"/>
          </w:tcPr>
          <w:p w14:paraId="04FF2F1B" w14:textId="77777777" w:rsidR="00891A69" w:rsidRDefault="00891A69" w:rsidP="00891A69">
            <w:pPr>
              <w:rPr>
                <w:b/>
                <w:sz w:val="24"/>
                <w:szCs w:val="24"/>
              </w:rPr>
            </w:pPr>
          </w:p>
          <w:p w14:paraId="4CBEE0AC" w14:textId="77777777" w:rsidR="00C21577" w:rsidRDefault="00C21577" w:rsidP="00891A69">
            <w:pPr>
              <w:rPr>
                <w:b/>
                <w:sz w:val="24"/>
                <w:szCs w:val="24"/>
              </w:rPr>
            </w:pPr>
          </w:p>
        </w:tc>
      </w:tr>
      <w:tr w:rsidR="00891A69" w14:paraId="70CDFF07" w14:textId="77777777" w:rsidTr="000935F8">
        <w:tc>
          <w:tcPr>
            <w:tcW w:w="622" w:type="dxa"/>
          </w:tcPr>
          <w:p w14:paraId="7F2DF832" w14:textId="77777777" w:rsidR="00891A69" w:rsidRPr="004E729C" w:rsidRDefault="004112BB" w:rsidP="00891A69">
            <w:pPr>
              <w:rPr>
                <w:rFonts w:cstheme="minorHAnsi"/>
                <w:sz w:val="20"/>
                <w:szCs w:val="20"/>
              </w:rPr>
            </w:pPr>
            <w:r>
              <w:rPr>
                <w:rFonts w:cstheme="minorHAnsi"/>
                <w:sz w:val="20"/>
                <w:szCs w:val="20"/>
              </w:rPr>
              <w:t>1.1</w:t>
            </w:r>
          </w:p>
        </w:tc>
        <w:tc>
          <w:tcPr>
            <w:tcW w:w="14966" w:type="dxa"/>
          </w:tcPr>
          <w:p w14:paraId="219785F6" w14:textId="77777777" w:rsidR="004112BB" w:rsidRDefault="004112BB" w:rsidP="004112BB">
            <w:pPr>
              <w:widowControl w:val="0"/>
              <w:autoSpaceDE w:val="0"/>
              <w:autoSpaceDN w:val="0"/>
              <w:adjustRightInd w:val="0"/>
              <w:spacing w:before="47" w:line="250" w:lineRule="auto"/>
              <w:ind w:right="40"/>
              <w:jc w:val="both"/>
              <w:rPr>
                <w:rFonts w:ascii="Arial Narrow" w:hAnsi="Arial Narrow"/>
                <w:color w:val="2E2014"/>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4CFAE224" w14:textId="7586C849" w:rsidR="006D26A5" w:rsidRPr="00504E9D" w:rsidRDefault="009860AA"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9860AA">
              <w:rPr>
                <w:rFonts w:ascii="Arial Narrow" w:hAnsi="Arial Narrow"/>
                <w:noProof/>
                <w:color w:val="000000"/>
                <w:sz w:val="20"/>
                <w:szCs w:val="20"/>
              </w:rPr>
              <w:lastRenderedPageBreak/>
              <w:drawing>
                <wp:inline distT="0" distB="0" distL="0" distR="0" wp14:anchorId="74B9EF78" wp14:editId="1ADB98EF">
                  <wp:extent cx="9363075" cy="3429000"/>
                  <wp:effectExtent l="0" t="0" r="9525" b="0"/>
                  <wp:docPr id="11986294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63075" cy="3429000"/>
                          </a:xfrm>
                          <a:prstGeom prst="rect">
                            <a:avLst/>
                          </a:prstGeom>
                          <a:noFill/>
                          <a:ln>
                            <a:noFill/>
                          </a:ln>
                        </pic:spPr>
                      </pic:pic>
                    </a:graphicData>
                  </a:graphic>
                </wp:inline>
              </w:drawing>
            </w:r>
          </w:p>
          <w:p w14:paraId="4FC26C9F" w14:textId="77777777" w:rsidR="00891A69" w:rsidRDefault="004112BB" w:rsidP="004112BB">
            <w:pPr>
              <w:rPr>
                <w:b/>
                <w:sz w:val="24"/>
                <w:szCs w:val="24"/>
              </w:rPr>
            </w:pPr>
            <w:r w:rsidRPr="00504E9D">
              <w:rPr>
                <w:rFonts w:ascii="Arial Narrow" w:hAnsi="Arial Narrow"/>
                <w:color w:val="2E2014"/>
                <w:sz w:val="20"/>
                <w:szCs w:val="20"/>
              </w:rPr>
              <w:t>– podobne przedstawienie stanów i tytułów zmian dotychczasowej amortyzacji lub umorzenia</w:t>
            </w:r>
          </w:p>
        </w:tc>
      </w:tr>
      <w:tr w:rsidR="004112BB" w14:paraId="59E2B599" w14:textId="77777777" w:rsidTr="000935F8">
        <w:tc>
          <w:tcPr>
            <w:tcW w:w="622" w:type="dxa"/>
          </w:tcPr>
          <w:p w14:paraId="29BDA5A2" w14:textId="77777777" w:rsidR="004112BB" w:rsidRPr="004E729C" w:rsidRDefault="004112BB" w:rsidP="004112BB">
            <w:pPr>
              <w:rPr>
                <w:rFonts w:cstheme="minorHAnsi"/>
                <w:sz w:val="20"/>
                <w:szCs w:val="20"/>
              </w:rPr>
            </w:pPr>
            <w:r>
              <w:rPr>
                <w:rFonts w:cstheme="minorHAnsi"/>
                <w:sz w:val="20"/>
                <w:szCs w:val="20"/>
              </w:rPr>
              <w:lastRenderedPageBreak/>
              <w:t>1.2</w:t>
            </w:r>
          </w:p>
        </w:tc>
        <w:tc>
          <w:tcPr>
            <w:tcW w:w="14966" w:type="dxa"/>
          </w:tcPr>
          <w:p w14:paraId="6B87F584" w14:textId="77777777"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14:paraId="7079783D" w14:textId="77777777" w:rsidTr="000935F8">
        <w:tc>
          <w:tcPr>
            <w:tcW w:w="622" w:type="dxa"/>
          </w:tcPr>
          <w:p w14:paraId="695D971B" w14:textId="77777777" w:rsidR="004112BB" w:rsidRPr="004E729C" w:rsidRDefault="004112BB" w:rsidP="004112BB">
            <w:pPr>
              <w:rPr>
                <w:rFonts w:cstheme="minorHAnsi"/>
                <w:sz w:val="20"/>
                <w:szCs w:val="20"/>
              </w:rPr>
            </w:pPr>
          </w:p>
        </w:tc>
        <w:tc>
          <w:tcPr>
            <w:tcW w:w="14966" w:type="dxa"/>
          </w:tcPr>
          <w:p w14:paraId="467ACF8F" w14:textId="77777777" w:rsidR="004112BB" w:rsidRDefault="00703B43" w:rsidP="004112BB">
            <w:pPr>
              <w:rPr>
                <w:b/>
                <w:sz w:val="24"/>
                <w:szCs w:val="24"/>
              </w:rPr>
            </w:pPr>
            <w:r>
              <w:rPr>
                <w:b/>
                <w:sz w:val="24"/>
                <w:szCs w:val="24"/>
              </w:rPr>
              <w:t>Nie dotyczy</w:t>
            </w:r>
          </w:p>
        </w:tc>
      </w:tr>
      <w:tr w:rsidR="004112BB" w14:paraId="2CD5CABA" w14:textId="77777777" w:rsidTr="000935F8">
        <w:tc>
          <w:tcPr>
            <w:tcW w:w="622" w:type="dxa"/>
          </w:tcPr>
          <w:p w14:paraId="7F06AD73" w14:textId="77777777" w:rsidR="004112BB" w:rsidRPr="004E729C" w:rsidRDefault="004112BB" w:rsidP="004112BB">
            <w:pPr>
              <w:rPr>
                <w:rFonts w:cstheme="minorHAnsi"/>
                <w:sz w:val="20"/>
                <w:szCs w:val="20"/>
              </w:rPr>
            </w:pPr>
            <w:r>
              <w:rPr>
                <w:rFonts w:cstheme="minorHAnsi"/>
                <w:sz w:val="20"/>
                <w:szCs w:val="20"/>
              </w:rPr>
              <w:t>1.3</w:t>
            </w:r>
          </w:p>
        </w:tc>
        <w:tc>
          <w:tcPr>
            <w:tcW w:w="14966" w:type="dxa"/>
          </w:tcPr>
          <w:p w14:paraId="3E390731"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14:paraId="48F0F0EC" w14:textId="77777777" w:rsidTr="000935F8">
        <w:tc>
          <w:tcPr>
            <w:tcW w:w="622" w:type="dxa"/>
          </w:tcPr>
          <w:p w14:paraId="20CF18F0" w14:textId="77777777" w:rsidR="004112BB" w:rsidRPr="004E729C" w:rsidRDefault="004112BB" w:rsidP="004112BB">
            <w:pPr>
              <w:rPr>
                <w:rFonts w:cstheme="minorHAnsi"/>
                <w:sz w:val="20"/>
                <w:szCs w:val="20"/>
              </w:rPr>
            </w:pPr>
          </w:p>
        </w:tc>
        <w:tc>
          <w:tcPr>
            <w:tcW w:w="14966" w:type="dxa"/>
          </w:tcPr>
          <w:p w14:paraId="43FC8116" w14:textId="77777777" w:rsidR="004112BB" w:rsidRDefault="00703B43" w:rsidP="004112BB">
            <w:pPr>
              <w:rPr>
                <w:b/>
                <w:sz w:val="24"/>
                <w:szCs w:val="24"/>
              </w:rPr>
            </w:pPr>
            <w:r>
              <w:rPr>
                <w:b/>
                <w:sz w:val="24"/>
                <w:szCs w:val="24"/>
              </w:rPr>
              <w:t>Nie dotyczy</w:t>
            </w:r>
          </w:p>
        </w:tc>
      </w:tr>
      <w:tr w:rsidR="004112BB" w14:paraId="4A68D14C" w14:textId="77777777" w:rsidTr="000935F8">
        <w:tc>
          <w:tcPr>
            <w:tcW w:w="622" w:type="dxa"/>
          </w:tcPr>
          <w:p w14:paraId="5E5775F5" w14:textId="77777777" w:rsidR="004112BB" w:rsidRPr="004E729C" w:rsidRDefault="004112BB" w:rsidP="004112BB">
            <w:pPr>
              <w:rPr>
                <w:rFonts w:cstheme="minorHAnsi"/>
                <w:sz w:val="20"/>
                <w:szCs w:val="20"/>
              </w:rPr>
            </w:pPr>
            <w:r>
              <w:rPr>
                <w:rFonts w:cstheme="minorHAnsi"/>
                <w:sz w:val="20"/>
                <w:szCs w:val="20"/>
              </w:rPr>
              <w:t>1.4</w:t>
            </w:r>
          </w:p>
        </w:tc>
        <w:tc>
          <w:tcPr>
            <w:tcW w:w="14966" w:type="dxa"/>
          </w:tcPr>
          <w:p w14:paraId="5C552B3E" w14:textId="77777777" w:rsidR="004112BB" w:rsidRDefault="004112BB" w:rsidP="004112BB">
            <w:pPr>
              <w:rPr>
                <w:b/>
                <w:sz w:val="24"/>
                <w:szCs w:val="24"/>
              </w:rPr>
            </w:pPr>
            <w:r>
              <w:rPr>
                <w:color w:val="2E2014"/>
                <w:sz w:val="20"/>
                <w:szCs w:val="20"/>
              </w:rPr>
              <w:t>wartość gruntów użytkowanych wieczyście</w:t>
            </w:r>
          </w:p>
        </w:tc>
      </w:tr>
      <w:tr w:rsidR="004112BB" w14:paraId="69F2FA21" w14:textId="77777777" w:rsidTr="000935F8">
        <w:tc>
          <w:tcPr>
            <w:tcW w:w="622" w:type="dxa"/>
          </w:tcPr>
          <w:p w14:paraId="32324067" w14:textId="77777777" w:rsidR="004112BB" w:rsidRPr="004E729C" w:rsidRDefault="004112BB" w:rsidP="004112BB">
            <w:pPr>
              <w:rPr>
                <w:rFonts w:cstheme="minorHAnsi"/>
                <w:sz w:val="20"/>
                <w:szCs w:val="20"/>
              </w:rPr>
            </w:pPr>
          </w:p>
        </w:tc>
        <w:tc>
          <w:tcPr>
            <w:tcW w:w="14966" w:type="dxa"/>
          </w:tcPr>
          <w:p w14:paraId="4CDD898E" w14:textId="77777777" w:rsidR="004112BB" w:rsidRDefault="00703B43" w:rsidP="004112BB">
            <w:pPr>
              <w:rPr>
                <w:b/>
                <w:sz w:val="24"/>
                <w:szCs w:val="24"/>
              </w:rPr>
            </w:pPr>
            <w:r>
              <w:rPr>
                <w:b/>
                <w:sz w:val="24"/>
                <w:szCs w:val="24"/>
              </w:rPr>
              <w:t>Nie dotyczy</w:t>
            </w:r>
          </w:p>
        </w:tc>
      </w:tr>
      <w:tr w:rsidR="004112BB" w14:paraId="172E490F" w14:textId="77777777" w:rsidTr="000935F8">
        <w:tc>
          <w:tcPr>
            <w:tcW w:w="622" w:type="dxa"/>
          </w:tcPr>
          <w:p w14:paraId="2972B342" w14:textId="77777777" w:rsidR="004112BB" w:rsidRPr="004E729C" w:rsidRDefault="004112BB" w:rsidP="004112BB">
            <w:pPr>
              <w:rPr>
                <w:rFonts w:cstheme="minorHAnsi"/>
                <w:sz w:val="20"/>
                <w:szCs w:val="20"/>
              </w:rPr>
            </w:pPr>
            <w:r>
              <w:rPr>
                <w:rFonts w:cstheme="minorHAnsi"/>
                <w:sz w:val="20"/>
                <w:szCs w:val="20"/>
              </w:rPr>
              <w:t>1.5</w:t>
            </w:r>
          </w:p>
        </w:tc>
        <w:tc>
          <w:tcPr>
            <w:tcW w:w="14966" w:type="dxa"/>
          </w:tcPr>
          <w:p w14:paraId="3053BAB4"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64B68183" w14:textId="77777777" w:rsidTr="000935F8">
        <w:tc>
          <w:tcPr>
            <w:tcW w:w="622" w:type="dxa"/>
          </w:tcPr>
          <w:p w14:paraId="65B58ABB" w14:textId="77777777" w:rsidR="004112BB" w:rsidRPr="004E729C" w:rsidRDefault="004112BB" w:rsidP="004112BB">
            <w:pPr>
              <w:rPr>
                <w:rFonts w:cstheme="minorHAnsi"/>
                <w:sz w:val="20"/>
                <w:szCs w:val="20"/>
              </w:rPr>
            </w:pPr>
          </w:p>
        </w:tc>
        <w:tc>
          <w:tcPr>
            <w:tcW w:w="14966" w:type="dxa"/>
          </w:tcPr>
          <w:p w14:paraId="00981050" w14:textId="77777777" w:rsidR="004112BB" w:rsidRDefault="00703B43" w:rsidP="004112BB">
            <w:pPr>
              <w:rPr>
                <w:b/>
                <w:sz w:val="24"/>
                <w:szCs w:val="24"/>
              </w:rPr>
            </w:pPr>
            <w:r>
              <w:rPr>
                <w:b/>
                <w:sz w:val="24"/>
                <w:szCs w:val="24"/>
              </w:rPr>
              <w:t>Nie dotyczy</w:t>
            </w:r>
          </w:p>
        </w:tc>
      </w:tr>
      <w:tr w:rsidR="00F714CC" w14:paraId="787F6D24" w14:textId="77777777" w:rsidTr="000935F8">
        <w:tc>
          <w:tcPr>
            <w:tcW w:w="622" w:type="dxa"/>
          </w:tcPr>
          <w:p w14:paraId="48935E20"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966" w:type="dxa"/>
          </w:tcPr>
          <w:p w14:paraId="588EC744"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3FF90F0F" w14:textId="77777777" w:rsidTr="000935F8">
        <w:tc>
          <w:tcPr>
            <w:tcW w:w="622" w:type="dxa"/>
          </w:tcPr>
          <w:p w14:paraId="4B8AFE6E" w14:textId="77777777" w:rsidR="004112BB" w:rsidRPr="004E729C" w:rsidRDefault="004112BB" w:rsidP="004112BB">
            <w:pPr>
              <w:rPr>
                <w:rFonts w:cstheme="minorHAnsi"/>
                <w:sz w:val="20"/>
                <w:szCs w:val="20"/>
              </w:rPr>
            </w:pPr>
          </w:p>
        </w:tc>
        <w:tc>
          <w:tcPr>
            <w:tcW w:w="14966" w:type="dxa"/>
          </w:tcPr>
          <w:p w14:paraId="2E4FA1A5" w14:textId="77777777" w:rsidR="004112BB" w:rsidRDefault="00703B43" w:rsidP="004112BB">
            <w:pPr>
              <w:rPr>
                <w:b/>
                <w:sz w:val="24"/>
                <w:szCs w:val="24"/>
              </w:rPr>
            </w:pPr>
            <w:r>
              <w:rPr>
                <w:b/>
                <w:sz w:val="24"/>
                <w:szCs w:val="24"/>
              </w:rPr>
              <w:t>Nie dotyczy</w:t>
            </w:r>
          </w:p>
        </w:tc>
      </w:tr>
      <w:tr w:rsidR="00720046" w14:paraId="14239AD9" w14:textId="77777777" w:rsidTr="000935F8">
        <w:tc>
          <w:tcPr>
            <w:tcW w:w="622" w:type="dxa"/>
          </w:tcPr>
          <w:p w14:paraId="50C37D4D"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966" w:type="dxa"/>
          </w:tcPr>
          <w:p w14:paraId="76AADE6B"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4019521E" w14:textId="77777777" w:rsidTr="000935F8">
        <w:tc>
          <w:tcPr>
            <w:tcW w:w="622" w:type="dxa"/>
          </w:tcPr>
          <w:p w14:paraId="34F82091" w14:textId="77777777" w:rsidR="004112BB" w:rsidRPr="004E729C" w:rsidRDefault="004112BB" w:rsidP="004112BB">
            <w:pPr>
              <w:rPr>
                <w:rFonts w:cstheme="minorHAnsi"/>
                <w:sz w:val="20"/>
                <w:szCs w:val="20"/>
              </w:rPr>
            </w:pPr>
          </w:p>
        </w:tc>
        <w:tc>
          <w:tcPr>
            <w:tcW w:w="14966" w:type="dxa"/>
          </w:tcPr>
          <w:p w14:paraId="2E063B2F" w14:textId="77777777" w:rsidR="004112BB" w:rsidRDefault="00F13C56" w:rsidP="004112BB">
            <w:pPr>
              <w:rPr>
                <w:b/>
                <w:sz w:val="24"/>
                <w:szCs w:val="24"/>
              </w:rPr>
            </w:pPr>
            <w:r>
              <w:rPr>
                <w:b/>
                <w:sz w:val="24"/>
                <w:szCs w:val="24"/>
              </w:rPr>
              <w:t>Nie dotyczy</w:t>
            </w:r>
          </w:p>
        </w:tc>
      </w:tr>
      <w:tr w:rsidR="008A129F" w14:paraId="32F12A4E" w14:textId="77777777" w:rsidTr="000935F8">
        <w:tc>
          <w:tcPr>
            <w:tcW w:w="622" w:type="dxa"/>
          </w:tcPr>
          <w:p w14:paraId="26700CC9"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966" w:type="dxa"/>
          </w:tcPr>
          <w:p w14:paraId="33A7443A"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091A5665" w14:textId="77777777" w:rsidTr="000935F8">
        <w:tc>
          <w:tcPr>
            <w:tcW w:w="622" w:type="dxa"/>
          </w:tcPr>
          <w:p w14:paraId="68F0C5E1" w14:textId="77777777" w:rsidR="004112BB" w:rsidRPr="004E729C" w:rsidRDefault="004112BB" w:rsidP="004112BB">
            <w:pPr>
              <w:rPr>
                <w:rFonts w:cstheme="minorHAnsi"/>
                <w:sz w:val="20"/>
                <w:szCs w:val="20"/>
              </w:rPr>
            </w:pPr>
          </w:p>
        </w:tc>
        <w:tc>
          <w:tcPr>
            <w:tcW w:w="14966" w:type="dxa"/>
          </w:tcPr>
          <w:p w14:paraId="77E436E1" w14:textId="77777777" w:rsidR="004112BB" w:rsidRDefault="00F13C56" w:rsidP="004112BB">
            <w:pPr>
              <w:rPr>
                <w:b/>
                <w:sz w:val="24"/>
                <w:szCs w:val="24"/>
              </w:rPr>
            </w:pPr>
            <w:r>
              <w:rPr>
                <w:b/>
                <w:sz w:val="24"/>
                <w:szCs w:val="24"/>
              </w:rPr>
              <w:t>Nie dotyczy</w:t>
            </w:r>
          </w:p>
        </w:tc>
      </w:tr>
      <w:tr w:rsidR="00D04A37" w14:paraId="3A887C6A" w14:textId="77777777" w:rsidTr="000935F8">
        <w:tc>
          <w:tcPr>
            <w:tcW w:w="622" w:type="dxa"/>
          </w:tcPr>
          <w:p w14:paraId="52710F85"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966" w:type="dxa"/>
          </w:tcPr>
          <w:p w14:paraId="566D4F4F"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5251009D" w14:textId="77777777" w:rsidTr="000935F8">
        <w:tc>
          <w:tcPr>
            <w:tcW w:w="622" w:type="dxa"/>
          </w:tcPr>
          <w:p w14:paraId="2119CBDF"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966" w:type="dxa"/>
          </w:tcPr>
          <w:p w14:paraId="75AEE9EC"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01A01402" w14:textId="77777777" w:rsidTr="000935F8">
        <w:tc>
          <w:tcPr>
            <w:tcW w:w="622" w:type="dxa"/>
          </w:tcPr>
          <w:p w14:paraId="089166DF" w14:textId="77777777" w:rsidR="004112BB" w:rsidRPr="004E729C" w:rsidRDefault="004112BB" w:rsidP="004112BB">
            <w:pPr>
              <w:rPr>
                <w:rFonts w:cstheme="minorHAnsi"/>
                <w:sz w:val="20"/>
                <w:szCs w:val="20"/>
              </w:rPr>
            </w:pPr>
          </w:p>
        </w:tc>
        <w:tc>
          <w:tcPr>
            <w:tcW w:w="14966" w:type="dxa"/>
          </w:tcPr>
          <w:p w14:paraId="4D2438B3" w14:textId="77777777" w:rsidR="004112BB" w:rsidRDefault="00F13C56" w:rsidP="004112BB">
            <w:pPr>
              <w:rPr>
                <w:b/>
                <w:sz w:val="24"/>
                <w:szCs w:val="24"/>
              </w:rPr>
            </w:pPr>
            <w:r>
              <w:rPr>
                <w:b/>
                <w:sz w:val="24"/>
                <w:szCs w:val="24"/>
              </w:rPr>
              <w:t>Nie dotyczy</w:t>
            </w:r>
          </w:p>
        </w:tc>
      </w:tr>
      <w:tr w:rsidR="000C5D31" w14:paraId="674C1882" w14:textId="77777777" w:rsidTr="000935F8">
        <w:tc>
          <w:tcPr>
            <w:tcW w:w="622" w:type="dxa"/>
          </w:tcPr>
          <w:p w14:paraId="752C3032"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966" w:type="dxa"/>
          </w:tcPr>
          <w:p w14:paraId="3B41D318"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655210A1" w14:textId="77777777" w:rsidTr="000935F8">
        <w:tc>
          <w:tcPr>
            <w:tcW w:w="622" w:type="dxa"/>
          </w:tcPr>
          <w:p w14:paraId="6D55166E" w14:textId="77777777" w:rsidR="004112BB" w:rsidRPr="004E729C" w:rsidRDefault="004112BB" w:rsidP="004112BB">
            <w:pPr>
              <w:rPr>
                <w:rFonts w:cstheme="minorHAnsi"/>
                <w:sz w:val="20"/>
                <w:szCs w:val="20"/>
              </w:rPr>
            </w:pPr>
          </w:p>
        </w:tc>
        <w:tc>
          <w:tcPr>
            <w:tcW w:w="14966" w:type="dxa"/>
          </w:tcPr>
          <w:p w14:paraId="744A66AE" w14:textId="77777777" w:rsidR="004112BB" w:rsidRDefault="00F13C56" w:rsidP="004112BB">
            <w:pPr>
              <w:rPr>
                <w:b/>
                <w:sz w:val="24"/>
                <w:szCs w:val="24"/>
              </w:rPr>
            </w:pPr>
            <w:r>
              <w:rPr>
                <w:b/>
                <w:sz w:val="24"/>
                <w:szCs w:val="24"/>
              </w:rPr>
              <w:t>Nie dotyczy</w:t>
            </w:r>
          </w:p>
        </w:tc>
      </w:tr>
      <w:tr w:rsidR="000935A5" w14:paraId="08C0EF25" w14:textId="77777777" w:rsidTr="000935F8">
        <w:tc>
          <w:tcPr>
            <w:tcW w:w="622" w:type="dxa"/>
          </w:tcPr>
          <w:p w14:paraId="1854CE3A"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966" w:type="dxa"/>
          </w:tcPr>
          <w:p w14:paraId="08784377"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364E8BFB" w14:textId="77777777" w:rsidTr="000935F8">
        <w:tc>
          <w:tcPr>
            <w:tcW w:w="622" w:type="dxa"/>
          </w:tcPr>
          <w:p w14:paraId="6CA319C8" w14:textId="77777777" w:rsidR="004112BB" w:rsidRPr="004E729C" w:rsidRDefault="004112BB" w:rsidP="004112BB">
            <w:pPr>
              <w:rPr>
                <w:rFonts w:cstheme="minorHAnsi"/>
                <w:sz w:val="20"/>
                <w:szCs w:val="20"/>
              </w:rPr>
            </w:pPr>
          </w:p>
        </w:tc>
        <w:tc>
          <w:tcPr>
            <w:tcW w:w="14966" w:type="dxa"/>
          </w:tcPr>
          <w:p w14:paraId="48210877" w14:textId="77777777" w:rsidR="004112BB" w:rsidRDefault="00F13C56" w:rsidP="004112BB">
            <w:pPr>
              <w:rPr>
                <w:b/>
                <w:sz w:val="24"/>
                <w:szCs w:val="24"/>
              </w:rPr>
            </w:pPr>
            <w:r>
              <w:rPr>
                <w:b/>
                <w:sz w:val="24"/>
                <w:szCs w:val="24"/>
              </w:rPr>
              <w:t>Nie dotyczy</w:t>
            </w:r>
          </w:p>
        </w:tc>
      </w:tr>
      <w:tr w:rsidR="002C4E00" w14:paraId="3F73E104" w14:textId="77777777" w:rsidTr="000935F8">
        <w:tc>
          <w:tcPr>
            <w:tcW w:w="622" w:type="dxa"/>
          </w:tcPr>
          <w:p w14:paraId="7E5CF259"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966" w:type="dxa"/>
          </w:tcPr>
          <w:p w14:paraId="4ECA3C30"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03E5A25A" w14:textId="77777777" w:rsidTr="000935F8">
        <w:tc>
          <w:tcPr>
            <w:tcW w:w="622" w:type="dxa"/>
          </w:tcPr>
          <w:p w14:paraId="5B8C3FA7" w14:textId="77777777" w:rsidR="004112BB" w:rsidRPr="004E729C" w:rsidRDefault="004112BB" w:rsidP="004112BB">
            <w:pPr>
              <w:rPr>
                <w:rFonts w:cstheme="minorHAnsi"/>
                <w:sz w:val="20"/>
                <w:szCs w:val="20"/>
              </w:rPr>
            </w:pPr>
          </w:p>
        </w:tc>
        <w:tc>
          <w:tcPr>
            <w:tcW w:w="14966" w:type="dxa"/>
          </w:tcPr>
          <w:p w14:paraId="2E72C468" w14:textId="77777777" w:rsidR="004112BB" w:rsidRDefault="00F13C56" w:rsidP="004112BB">
            <w:pPr>
              <w:rPr>
                <w:b/>
                <w:sz w:val="24"/>
                <w:szCs w:val="24"/>
              </w:rPr>
            </w:pPr>
            <w:r>
              <w:rPr>
                <w:b/>
                <w:sz w:val="24"/>
                <w:szCs w:val="24"/>
              </w:rPr>
              <w:t>Nie dotyczy</w:t>
            </w:r>
          </w:p>
        </w:tc>
      </w:tr>
      <w:tr w:rsidR="006D20B6" w14:paraId="69795242" w14:textId="77777777" w:rsidTr="000935F8">
        <w:tc>
          <w:tcPr>
            <w:tcW w:w="622" w:type="dxa"/>
          </w:tcPr>
          <w:p w14:paraId="1B91FEA2"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966" w:type="dxa"/>
          </w:tcPr>
          <w:p w14:paraId="4AE25F92"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2B6B7039" w14:textId="77777777" w:rsidTr="000935F8">
        <w:tc>
          <w:tcPr>
            <w:tcW w:w="622" w:type="dxa"/>
          </w:tcPr>
          <w:p w14:paraId="6E558F3B" w14:textId="77777777" w:rsidR="004112BB" w:rsidRPr="004E729C" w:rsidRDefault="004112BB" w:rsidP="004112BB">
            <w:pPr>
              <w:rPr>
                <w:rFonts w:cstheme="minorHAnsi"/>
                <w:sz w:val="20"/>
                <w:szCs w:val="20"/>
              </w:rPr>
            </w:pPr>
          </w:p>
        </w:tc>
        <w:tc>
          <w:tcPr>
            <w:tcW w:w="14966" w:type="dxa"/>
          </w:tcPr>
          <w:p w14:paraId="6364C1CB" w14:textId="77777777" w:rsidR="004112BB" w:rsidRDefault="00F13C56" w:rsidP="004112BB">
            <w:pPr>
              <w:rPr>
                <w:b/>
                <w:sz w:val="24"/>
                <w:szCs w:val="24"/>
              </w:rPr>
            </w:pPr>
            <w:r>
              <w:rPr>
                <w:b/>
                <w:sz w:val="24"/>
                <w:szCs w:val="24"/>
              </w:rPr>
              <w:t>Nie dotyczy</w:t>
            </w:r>
          </w:p>
        </w:tc>
      </w:tr>
      <w:tr w:rsidR="002C6CED" w14:paraId="362E5D6F" w14:textId="77777777" w:rsidTr="000935F8">
        <w:tc>
          <w:tcPr>
            <w:tcW w:w="622" w:type="dxa"/>
          </w:tcPr>
          <w:p w14:paraId="53BD0EA0"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966" w:type="dxa"/>
          </w:tcPr>
          <w:p w14:paraId="16E6FAC0"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6A182501" w14:textId="77777777" w:rsidTr="000935F8">
        <w:tc>
          <w:tcPr>
            <w:tcW w:w="622" w:type="dxa"/>
          </w:tcPr>
          <w:p w14:paraId="2BC34251" w14:textId="77777777" w:rsidR="004112BB" w:rsidRPr="004E729C" w:rsidRDefault="004112BB" w:rsidP="004112BB">
            <w:pPr>
              <w:rPr>
                <w:rFonts w:cstheme="minorHAnsi"/>
                <w:sz w:val="20"/>
                <w:szCs w:val="20"/>
              </w:rPr>
            </w:pPr>
          </w:p>
        </w:tc>
        <w:tc>
          <w:tcPr>
            <w:tcW w:w="14966" w:type="dxa"/>
          </w:tcPr>
          <w:p w14:paraId="7CD3F2D7" w14:textId="77777777" w:rsidR="004112BB" w:rsidRDefault="00F13C56" w:rsidP="004112BB">
            <w:pPr>
              <w:rPr>
                <w:b/>
                <w:sz w:val="24"/>
                <w:szCs w:val="24"/>
              </w:rPr>
            </w:pPr>
            <w:r>
              <w:rPr>
                <w:b/>
                <w:sz w:val="24"/>
                <w:szCs w:val="24"/>
              </w:rPr>
              <w:t>Nie dotyczy</w:t>
            </w:r>
          </w:p>
        </w:tc>
      </w:tr>
      <w:tr w:rsidR="006532F0" w14:paraId="23925056" w14:textId="77777777" w:rsidTr="000935F8">
        <w:tc>
          <w:tcPr>
            <w:tcW w:w="622" w:type="dxa"/>
          </w:tcPr>
          <w:p w14:paraId="3B507DCA"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966" w:type="dxa"/>
          </w:tcPr>
          <w:p w14:paraId="19F693D7"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026ADA6E" w14:textId="77777777" w:rsidTr="000935F8">
        <w:tc>
          <w:tcPr>
            <w:tcW w:w="622" w:type="dxa"/>
          </w:tcPr>
          <w:p w14:paraId="3F20B3AE" w14:textId="77777777" w:rsidR="004112BB" w:rsidRPr="004E729C" w:rsidRDefault="004112BB" w:rsidP="004112BB">
            <w:pPr>
              <w:rPr>
                <w:rFonts w:cstheme="minorHAnsi"/>
                <w:sz w:val="20"/>
                <w:szCs w:val="20"/>
              </w:rPr>
            </w:pPr>
          </w:p>
        </w:tc>
        <w:tc>
          <w:tcPr>
            <w:tcW w:w="14966" w:type="dxa"/>
          </w:tcPr>
          <w:p w14:paraId="6499FC24" w14:textId="77777777" w:rsidR="004112BB" w:rsidRDefault="00F13C56" w:rsidP="004112BB">
            <w:pPr>
              <w:rPr>
                <w:b/>
                <w:sz w:val="24"/>
                <w:szCs w:val="24"/>
              </w:rPr>
            </w:pPr>
            <w:r>
              <w:rPr>
                <w:b/>
                <w:sz w:val="24"/>
                <w:szCs w:val="24"/>
              </w:rPr>
              <w:t>Nie dotyczy</w:t>
            </w:r>
          </w:p>
        </w:tc>
      </w:tr>
      <w:tr w:rsidR="006532F0" w14:paraId="3F30BB2A" w14:textId="77777777" w:rsidTr="000935F8">
        <w:tc>
          <w:tcPr>
            <w:tcW w:w="622" w:type="dxa"/>
          </w:tcPr>
          <w:p w14:paraId="584A7045"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966" w:type="dxa"/>
          </w:tcPr>
          <w:p w14:paraId="3AC1FDC1"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5782576A" w14:textId="77777777" w:rsidTr="000935F8">
        <w:tc>
          <w:tcPr>
            <w:tcW w:w="622" w:type="dxa"/>
          </w:tcPr>
          <w:p w14:paraId="4B89233B" w14:textId="77777777" w:rsidR="004112BB" w:rsidRPr="004E729C" w:rsidRDefault="004112BB" w:rsidP="004112BB">
            <w:pPr>
              <w:rPr>
                <w:rFonts w:cstheme="minorHAnsi"/>
                <w:sz w:val="20"/>
                <w:szCs w:val="20"/>
              </w:rPr>
            </w:pPr>
          </w:p>
        </w:tc>
        <w:tc>
          <w:tcPr>
            <w:tcW w:w="14966" w:type="dxa"/>
          </w:tcPr>
          <w:p w14:paraId="67197AA1" w14:textId="77777777" w:rsidR="004112BB" w:rsidRDefault="00F13C56" w:rsidP="004112BB">
            <w:pPr>
              <w:rPr>
                <w:b/>
                <w:sz w:val="24"/>
                <w:szCs w:val="24"/>
              </w:rPr>
            </w:pPr>
            <w:r>
              <w:rPr>
                <w:b/>
                <w:sz w:val="24"/>
                <w:szCs w:val="24"/>
              </w:rPr>
              <w:t>Nie dotyczy</w:t>
            </w:r>
          </w:p>
        </w:tc>
      </w:tr>
      <w:tr w:rsidR="006532F0" w14:paraId="18B4B741" w14:textId="77777777" w:rsidTr="000935F8">
        <w:tc>
          <w:tcPr>
            <w:tcW w:w="622" w:type="dxa"/>
          </w:tcPr>
          <w:p w14:paraId="3E60710C"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966" w:type="dxa"/>
          </w:tcPr>
          <w:p w14:paraId="14DDB6A6" w14:textId="77777777"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14:paraId="403E54EB" w14:textId="77777777" w:rsidTr="000935F8">
        <w:trPr>
          <w:trHeight w:val="364"/>
        </w:trPr>
        <w:tc>
          <w:tcPr>
            <w:tcW w:w="622" w:type="dxa"/>
          </w:tcPr>
          <w:p w14:paraId="67E6EDE3" w14:textId="77777777" w:rsidR="004112BB" w:rsidRPr="004E729C" w:rsidRDefault="004112BB" w:rsidP="004112BB">
            <w:pPr>
              <w:rPr>
                <w:rFonts w:cstheme="minorHAnsi"/>
                <w:sz w:val="20"/>
                <w:szCs w:val="20"/>
              </w:rPr>
            </w:pPr>
          </w:p>
        </w:tc>
        <w:tc>
          <w:tcPr>
            <w:tcW w:w="14966" w:type="dxa"/>
          </w:tcPr>
          <w:p w14:paraId="5533D34F" w14:textId="6176291B" w:rsidR="00F21CA6" w:rsidRDefault="009625FA" w:rsidP="004112BB">
            <w:pPr>
              <w:rPr>
                <w:b/>
                <w:sz w:val="24"/>
                <w:szCs w:val="24"/>
              </w:rPr>
            </w:pPr>
            <w:r>
              <w:rPr>
                <w:b/>
                <w:sz w:val="24"/>
                <w:szCs w:val="24"/>
              </w:rPr>
              <w:t>164.087,61</w:t>
            </w:r>
          </w:p>
        </w:tc>
      </w:tr>
      <w:tr w:rsidR="006532F0" w14:paraId="7717CA32" w14:textId="77777777" w:rsidTr="000935F8">
        <w:tc>
          <w:tcPr>
            <w:tcW w:w="622" w:type="dxa"/>
          </w:tcPr>
          <w:p w14:paraId="324C7F55"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966" w:type="dxa"/>
          </w:tcPr>
          <w:p w14:paraId="3BBDB00E" w14:textId="77777777" w:rsidR="006532F0" w:rsidRDefault="006532F0" w:rsidP="006532F0">
            <w:pPr>
              <w:widowControl w:val="0"/>
              <w:autoSpaceDE w:val="0"/>
              <w:autoSpaceDN w:val="0"/>
              <w:adjustRightInd w:val="0"/>
              <w:spacing w:before="47"/>
              <w:ind w:right="-20"/>
            </w:pPr>
            <w:r>
              <w:rPr>
                <w:color w:val="2E2014"/>
                <w:sz w:val="20"/>
                <w:szCs w:val="20"/>
              </w:rPr>
              <w:t>inne informacje</w:t>
            </w:r>
          </w:p>
        </w:tc>
      </w:tr>
      <w:tr w:rsidR="004112BB" w14:paraId="77EC4D6A" w14:textId="77777777" w:rsidTr="000935F8">
        <w:tc>
          <w:tcPr>
            <w:tcW w:w="622" w:type="dxa"/>
          </w:tcPr>
          <w:p w14:paraId="66B4DA72" w14:textId="77777777" w:rsidR="004112BB" w:rsidRPr="004E729C" w:rsidRDefault="004112BB" w:rsidP="004112BB">
            <w:pPr>
              <w:rPr>
                <w:rFonts w:cstheme="minorHAnsi"/>
                <w:sz w:val="20"/>
                <w:szCs w:val="20"/>
              </w:rPr>
            </w:pPr>
          </w:p>
        </w:tc>
        <w:tc>
          <w:tcPr>
            <w:tcW w:w="14966" w:type="dxa"/>
          </w:tcPr>
          <w:p w14:paraId="432D320A" w14:textId="768BA893" w:rsidR="004112BB" w:rsidRDefault="00F21CA6" w:rsidP="004112BB">
            <w:pPr>
              <w:rPr>
                <w:b/>
                <w:sz w:val="24"/>
                <w:szCs w:val="24"/>
              </w:rPr>
            </w:pPr>
            <w:r>
              <w:rPr>
                <w:b/>
                <w:sz w:val="24"/>
                <w:szCs w:val="24"/>
              </w:rPr>
              <w:t>Umorzenie pozostały</w:t>
            </w:r>
            <w:r w:rsidR="00D866BB">
              <w:rPr>
                <w:b/>
                <w:sz w:val="24"/>
                <w:szCs w:val="24"/>
              </w:rPr>
              <w:t xml:space="preserve">ch środków trwałych – </w:t>
            </w:r>
            <w:r w:rsidR="004A2A8F">
              <w:rPr>
                <w:b/>
                <w:sz w:val="24"/>
                <w:szCs w:val="24"/>
              </w:rPr>
              <w:t>1.</w:t>
            </w:r>
            <w:r w:rsidR="009625FA">
              <w:rPr>
                <w:b/>
                <w:sz w:val="24"/>
                <w:szCs w:val="24"/>
              </w:rPr>
              <w:t>957.154,63</w:t>
            </w:r>
          </w:p>
          <w:p w14:paraId="37E56F51" w14:textId="7FBE907C" w:rsidR="00F21CA6" w:rsidRDefault="00F21CA6" w:rsidP="004C5FFE">
            <w:pPr>
              <w:rPr>
                <w:b/>
                <w:sz w:val="24"/>
                <w:szCs w:val="24"/>
              </w:rPr>
            </w:pPr>
            <w:r>
              <w:rPr>
                <w:b/>
                <w:sz w:val="24"/>
                <w:szCs w:val="24"/>
              </w:rPr>
              <w:t xml:space="preserve">Umorzenie zbiorów bibliotecznych </w:t>
            </w:r>
            <w:r w:rsidR="007B31E5">
              <w:rPr>
                <w:b/>
                <w:sz w:val="24"/>
                <w:szCs w:val="24"/>
              </w:rPr>
              <w:t xml:space="preserve">             </w:t>
            </w:r>
            <w:r>
              <w:rPr>
                <w:b/>
                <w:sz w:val="24"/>
                <w:szCs w:val="24"/>
              </w:rPr>
              <w:t xml:space="preserve">– </w:t>
            </w:r>
            <w:r w:rsidR="007B31E5">
              <w:rPr>
                <w:b/>
                <w:sz w:val="24"/>
                <w:szCs w:val="24"/>
              </w:rPr>
              <w:t xml:space="preserve">    </w:t>
            </w:r>
            <w:r w:rsidR="009625FA">
              <w:rPr>
                <w:b/>
                <w:sz w:val="24"/>
                <w:szCs w:val="24"/>
              </w:rPr>
              <w:t>102.</w:t>
            </w:r>
            <w:r w:rsidR="009272C7">
              <w:rPr>
                <w:b/>
                <w:sz w:val="24"/>
                <w:szCs w:val="24"/>
              </w:rPr>
              <w:t>036,98</w:t>
            </w:r>
          </w:p>
        </w:tc>
      </w:tr>
      <w:tr w:rsidR="004112BB" w14:paraId="2738053A" w14:textId="77777777" w:rsidTr="000935F8">
        <w:tc>
          <w:tcPr>
            <w:tcW w:w="622" w:type="dxa"/>
          </w:tcPr>
          <w:p w14:paraId="3F62D74A" w14:textId="77777777" w:rsidR="004112BB" w:rsidRPr="004E729C" w:rsidRDefault="002543AF" w:rsidP="004112BB">
            <w:pPr>
              <w:rPr>
                <w:rFonts w:cstheme="minorHAnsi"/>
                <w:sz w:val="20"/>
                <w:szCs w:val="20"/>
              </w:rPr>
            </w:pPr>
            <w:r>
              <w:rPr>
                <w:rFonts w:cstheme="minorHAnsi"/>
                <w:sz w:val="20"/>
                <w:szCs w:val="20"/>
              </w:rPr>
              <w:t>2.</w:t>
            </w:r>
          </w:p>
        </w:tc>
        <w:tc>
          <w:tcPr>
            <w:tcW w:w="14966" w:type="dxa"/>
          </w:tcPr>
          <w:p w14:paraId="4DEA0E6B" w14:textId="77777777" w:rsidR="004112BB" w:rsidRDefault="004112BB" w:rsidP="004112BB">
            <w:pPr>
              <w:rPr>
                <w:b/>
                <w:sz w:val="24"/>
                <w:szCs w:val="24"/>
              </w:rPr>
            </w:pPr>
          </w:p>
        </w:tc>
      </w:tr>
      <w:tr w:rsidR="004E3D68" w14:paraId="015D9905" w14:textId="77777777" w:rsidTr="000935F8">
        <w:tc>
          <w:tcPr>
            <w:tcW w:w="622" w:type="dxa"/>
          </w:tcPr>
          <w:p w14:paraId="2B2D3A31"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966" w:type="dxa"/>
          </w:tcPr>
          <w:p w14:paraId="011E4584"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052EB100" w14:textId="77777777" w:rsidTr="000935F8">
        <w:tc>
          <w:tcPr>
            <w:tcW w:w="622" w:type="dxa"/>
          </w:tcPr>
          <w:p w14:paraId="7EC413E7" w14:textId="77777777" w:rsidR="004112BB" w:rsidRPr="004E729C" w:rsidRDefault="004112BB" w:rsidP="004112BB">
            <w:pPr>
              <w:rPr>
                <w:rFonts w:cstheme="minorHAnsi"/>
                <w:sz w:val="20"/>
                <w:szCs w:val="20"/>
              </w:rPr>
            </w:pPr>
          </w:p>
        </w:tc>
        <w:tc>
          <w:tcPr>
            <w:tcW w:w="14966" w:type="dxa"/>
          </w:tcPr>
          <w:p w14:paraId="433C8E5F" w14:textId="77777777" w:rsidR="004112BB" w:rsidRDefault="001827CE" w:rsidP="004112BB">
            <w:pPr>
              <w:rPr>
                <w:b/>
                <w:sz w:val="24"/>
                <w:szCs w:val="24"/>
              </w:rPr>
            </w:pPr>
            <w:r>
              <w:rPr>
                <w:b/>
                <w:sz w:val="24"/>
                <w:szCs w:val="24"/>
              </w:rPr>
              <w:t>Nie dotyczy</w:t>
            </w:r>
          </w:p>
        </w:tc>
      </w:tr>
      <w:tr w:rsidR="004E3D68" w14:paraId="79665600" w14:textId="77777777" w:rsidTr="000935F8">
        <w:tc>
          <w:tcPr>
            <w:tcW w:w="622" w:type="dxa"/>
          </w:tcPr>
          <w:p w14:paraId="6B490259"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966" w:type="dxa"/>
          </w:tcPr>
          <w:p w14:paraId="6AEBF6C2"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1CC92094" w14:textId="77777777" w:rsidTr="000935F8">
        <w:tc>
          <w:tcPr>
            <w:tcW w:w="622" w:type="dxa"/>
          </w:tcPr>
          <w:p w14:paraId="65FE42FF" w14:textId="77777777" w:rsidR="004112BB" w:rsidRPr="004E729C" w:rsidRDefault="004112BB" w:rsidP="004112BB">
            <w:pPr>
              <w:rPr>
                <w:rFonts w:cstheme="minorHAnsi"/>
                <w:sz w:val="20"/>
                <w:szCs w:val="20"/>
              </w:rPr>
            </w:pPr>
          </w:p>
        </w:tc>
        <w:tc>
          <w:tcPr>
            <w:tcW w:w="14966" w:type="dxa"/>
          </w:tcPr>
          <w:p w14:paraId="665D1A5C" w14:textId="77777777" w:rsidR="004112BB" w:rsidRDefault="001827CE" w:rsidP="004112BB">
            <w:pPr>
              <w:rPr>
                <w:b/>
                <w:sz w:val="24"/>
                <w:szCs w:val="24"/>
              </w:rPr>
            </w:pPr>
            <w:r>
              <w:rPr>
                <w:b/>
                <w:sz w:val="24"/>
                <w:szCs w:val="24"/>
              </w:rPr>
              <w:t>Nie wystąpiły</w:t>
            </w:r>
          </w:p>
        </w:tc>
      </w:tr>
      <w:tr w:rsidR="00653791" w14:paraId="1AF34C87" w14:textId="77777777" w:rsidTr="000935F8">
        <w:tc>
          <w:tcPr>
            <w:tcW w:w="622" w:type="dxa"/>
          </w:tcPr>
          <w:p w14:paraId="6AF3897B"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966" w:type="dxa"/>
          </w:tcPr>
          <w:p w14:paraId="1BEE2AF9" w14:textId="77777777"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4112BB" w14:paraId="65C8E31D" w14:textId="77777777" w:rsidTr="000935F8">
        <w:tc>
          <w:tcPr>
            <w:tcW w:w="622" w:type="dxa"/>
          </w:tcPr>
          <w:p w14:paraId="02CBA81F" w14:textId="77777777" w:rsidR="004112BB" w:rsidRPr="004E729C" w:rsidRDefault="004112BB" w:rsidP="004112BB">
            <w:pPr>
              <w:rPr>
                <w:rFonts w:cstheme="minorHAnsi"/>
                <w:sz w:val="20"/>
                <w:szCs w:val="20"/>
              </w:rPr>
            </w:pPr>
          </w:p>
        </w:tc>
        <w:tc>
          <w:tcPr>
            <w:tcW w:w="14966" w:type="dxa"/>
          </w:tcPr>
          <w:p w14:paraId="59FD4EE7" w14:textId="10D182CA" w:rsidR="004112BB" w:rsidRPr="00371DE6" w:rsidRDefault="00371DE6" w:rsidP="004112BB">
            <w:pPr>
              <w:rPr>
                <w:b/>
                <w:bCs/>
                <w:sz w:val="24"/>
                <w:szCs w:val="24"/>
              </w:rPr>
            </w:pPr>
            <w:r w:rsidRPr="00371DE6">
              <w:rPr>
                <w:b/>
                <w:bCs/>
                <w:sz w:val="24"/>
                <w:szCs w:val="24"/>
              </w:rPr>
              <w:t xml:space="preserve">Fundusz Pomocy Ukrainie – </w:t>
            </w:r>
            <w:r w:rsidR="009625FA">
              <w:rPr>
                <w:b/>
                <w:bCs/>
                <w:sz w:val="24"/>
                <w:szCs w:val="24"/>
              </w:rPr>
              <w:t>23.860,20</w:t>
            </w:r>
          </w:p>
        </w:tc>
      </w:tr>
      <w:tr w:rsidR="00653791" w14:paraId="4D25169C" w14:textId="77777777" w:rsidTr="000935F8">
        <w:tc>
          <w:tcPr>
            <w:tcW w:w="622" w:type="dxa"/>
          </w:tcPr>
          <w:p w14:paraId="66BDAF4B"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966" w:type="dxa"/>
          </w:tcPr>
          <w:p w14:paraId="15FAAF55"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 xml:space="preserve">informację o kwocie należności z tytułu podatków realizowanych przez organy podatkowe podległe ministrowi właściwemu do spraw finansów publicznych wykazywanych w </w:t>
            </w:r>
            <w:r>
              <w:rPr>
                <w:color w:val="2E2014"/>
                <w:sz w:val="20"/>
                <w:szCs w:val="20"/>
              </w:rPr>
              <w:lastRenderedPageBreak/>
              <w:t>sprawozdaniu z wykonania planu dochodów budżetowych</w:t>
            </w:r>
          </w:p>
        </w:tc>
      </w:tr>
      <w:tr w:rsidR="004112BB" w14:paraId="1A22E87E" w14:textId="77777777" w:rsidTr="000935F8">
        <w:tc>
          <w:tcPr>
            <w:tcW w:w="622" w:type="dxa"/>
          </w:tcPr>
          <w:p w14:paraId="22E14A7F" w14:textId="77777777" w:rsidR="004112BB" w:rsidRPr="004E729C" w:rsidRDefault="004112BB" w:rsidP="004112BB">
            <w:pPr>
              <w:rPr>
                <w:rFonts w:cstheme="minorHAnsi"/>
                <w:sz w:val="20"/>
                <w:szCs w:val="20"/>
              </w:rPr>
            </w:pPr>
          </w:p>
        </w:tc>
        <w:tc>
          <w:tcPr>
            <w:tcW w:w="14966" w:type="dxa"/>
          </w:tcPr>
          <w:p w14:paraId="37F3AC39" w14:textId="77777777" w:rsidR="004112BB" w:rsidRDefault="001827CE" w:rsidP="004112BB">
            <w:pPr>
              <w:rPr>
                <w:b/>
                <w:sz w:val="24"/>
                <w:szCs w:val="24"/>
              </w:rPr>
            </w:pPr>
            <w:r>
              <w:rPr>
                <w:b/>
                <w:sz w:val="24"/>
                <w:szCs w:val="24"/>
              </w:rPr>
              <w:t>Nie wystąpiły</w:t>
            </w:r>
          </w:p>
        </w:tc>
      </w:tr>
      <w:tr w:rsidR="00653791" w14:paraId="194633D5" w14:textId="77777777" w:rsidTr="000935F8">
        <w:tc>
          <w:tcPr>
            <w:tcW w:w="622" w:type="dxa"/>
          </w:tcPr>
          <w:p w14:paraId="483DDED3"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966" w:type="dxa"/>
          </w:tcPr>
          <w:p w14:paraId="089A0F36"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14:paraId="3F00464A" w14:textId="77777777" w:rsidTr="000935F8">
        <w:tc>
          <w:tcPr>
            <w:tcW w:w="622" w:type="dxa"/>
          </w:tcPr>
          <w:p w14:paraId="353F221C" w14:textId="77777777" w:rsidR="004112BB" w:rsidRPr="004E729C" w:rsidRDefault="004112BB" w:rsidP="004112BB">
            <w:pPr>
              <w:rPr>
                <w:rFonts w:cstheme="minorHAnsi"/>
                <w:sz w:val="20"/>
                <w:szCs w:val="20"/>
              </w:rPr>
            </w:pPr>
          </w:p>
        </w:tc>
        <w:tc>
          <w:tcPr>
            <w:tcW w:w="14966" w:type="dxa"/>
          </w:tcPr>
          <w:p w14:paraId="520C5AB2" w14:textId="77777777" w:rsidR="004112BB" w:rsidRDefault="004112BB" w:rsidP="004112BB">
            <w:pPr>
              <w:rPr>
                <w:b/>
                <w:sz w:val="24"/>
                <w:szCs w:val="24"/>
              </w:rPr>
            </w:pPr>
          </w:p>
        </w:tc>
      </w:tr>
      <w:tr w:rsidR="00653791" w14:paraId="3A7FC36E" w14:textId="77777777" w:rsidTr="000935F8">
        <w:tc>
          <w:tcPr>
            <w:tcW w:w="622" w:type="dxa"/>
          </w:tcPr>
          <w:p w14:paraId="089566BE"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966" w:type="dxa"/>
          </w:tcPr>
          <w:p w14:paraId="6693430A"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14:paraId="1EB07944" w14:textId="77777777" w:rsidTr="000935F8">
        <w:tc>
          <w:tcPr>
            <w:tcW w:w="622" w:type="dxa"/>
          </w:tcPr>
          <w:p w14:paraId="527922E9" w14:textId="77777777" w:rsidR="004112BB" w:rsidRPr="004E729C" w:rsidRDefault="004112BB" w:rsidP="004112BB">
            <w:pPr>
              <w:rPr>
                <w:rFonts w:cstheme="minorHAnsi"/>
                <w:sz w:val="20"/>
                <w:szCs w:val="20"/>
              </w:rPr>
            </w:pPr>
          </w:p>
        </w:tc>
        <w:tc>
          <w:tcPr>
            <w:tcW w:w="14966" w:type="dxa"/>
          </w:tcPr>
          <w:p w14:paraId="0C3D1738" w14:textId="77777777" w:rsidR="004112BB" w:rsidRDefault="004112BB" w:rsidP="004112BB">
            <w:pPr>
              <w:rPr>
                <w:b/>
                <w:sz w:val="24"/>
                <w:szCs w:val="24"/>
              </w:rPr>
            </w:pPr>
          </w:p>
        </w:tc>
      </w:tr>
    </w:tbl>
    <w:p w14:paraId="7328E8D6"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78655D43" w14:textId="77777777" w:rsidTr="009238DE">
        <w:trPr>
          <w:trHeight w:hRule="exact" w:val="280"/>
        </w:trPr>
        <w:tc>
          <w:tcPr>
            <w:tcW w:w="2994" w:type="dxa"/>
            <w:tcBorders>
              <w:top w:val="nil"/>
              <w:left w:val="nil"/>
              <w:bottom w:val="nil"/>
              <w:right w:val="nil"/>
            </w:tcBorders>
          </w:tcPr>
          <w:p w14:paraId="0379505C"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600C7B37"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c>
          <w:tcPr>
            <w:tcW w:w="2865" w:type="dxa"/>
            <w:tcBorders>
              <w:top w:val="nil"/>
              <w:left w:val="nil"/>
              <w:bottom w:val="nil"/>
              <w:right w:val="nil"/>
            </w:tcBorders>
          </w:tcPr>
          <w:p w14:paraId="59DFC3BF"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43E48641" w14:textId="77777777" w:rsidTr="009238DE">
        <w:trPr>
          <w:trHeight w:hRule="exact" w:val="280"/>
        </w:trPr>
        <w:tc>
          <w:tcPr>
            <w:tcW w:w="2994" w:type="dxa"/>
            <w:tcBorders>
              <w:top w:val="nil"/>
              <w:left w:val="nil"/>
              <w:bottom w:val="nil"/>
              <w:right w:val="nil"/>
            </w:tcBorders>
          </w:tcPr>
          <w:p w14:paraId="63B7BC3D"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1ABD5564"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6C81A003"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30FF4C7F" w14:textId="77777777" w:rsidR="0019543D" w:rsidRPr="005E4AA3" w:rsidRDefault="0019543D" w:rsidP="00891A69">
      <w:pPr>
        <w:rPr>
          <w:b/>
          <w:sz w:val="24"/>
          <w:szCs w:val="24"/>
        </w:rPr>
      </w:pPr>
    </w:p>
    <w:sectPr w:rsidR="0019543D" w:rsidRPr="005E4AA3" w:rsidSect="001A2973">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06205708">
    <w:abstractNumId w:val="0"/>
  </w:num>
  <w:num w:numId="2" w16cid:durableId="39374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A3"/>
    <w:rsid w:val="00010D73"/>
    <w:rsid w:val="00013EEC"/>
    <w:rsid w:val="00015ED5"/>
    <w:rsid w:val="000630C3"/>
    <w:rsid w:val="000869D2"/>
    <w:rsid w:val="00090F82"/>
    <w:rsid w:val="000935A5"/>
    <w:rsid w:val="000935F8"/>
    <w:rsid w:val="000A4C59"/>
    <w:rsid w:val="000C5D31"/>
    <w:rsid w:val="000F5631"/>
    <w:rsid w:val="001008ED"/>
    <w:rsid w:val="00127429"/>
    <w:rsid w:val="00154F63"/>
    <w:rsid w:val="001807BD"/>
    <w:rsid w:val="001827CE"/>
    <w:rsid w:val="0019101C"/>
    <w:rsid w:val="0019543D"/>
    <w:rsid w:val="001A2973"/>
    <w:rsid w:val="002165C0"/>
    <w:rsid w:val="002254AA"/>
    <w:rsid w:val="002543AF"/>
    <w:rsid w:val="002C4E00"/>
    <w:rsid w:val="002C6CED"/>
    <w:rsid w:val="002E703F"/>
    <w:rsid w:val="003155C5"/>
    <w:rsid w:val="00351097"/>
    <w:rsid w:val="00364A0E"/>
    <w:rsid w:val="00371DE6"/>
    <w:rsid w:val="00396D36"/>
    <w:rsid w:val="003C210E"/>
    <w:rsid w:val="003E1C65"/>
    <w:rsid w:val="004112BB"/>
    <w:rsid w:val="0042436D"/>
    <w:rsid w:val="00465CA8"/>
    <w:rsid w:val="004809C8"/>
    <w:rsid w:val="004A2A8F"/>
    <w:rsid w:val="004C5FFE"/>
    <w:rsid w:val="004E3D68"/>
    <w:rsid w:val="004E729C"/>
    <w:rsid w:val="004F3692"/>
    <w:rsid w:val="00504E9D"/>
    <w:rsid w:val="005443F1"/>
    <w:rsid w:val="00553E90"/>
    <w:rsid w:val="00577C3A"/>
    <w:rsid w:val="005B168B"/>
    <w:rsid w:val="005D08B9"/>
    <w:rsid w:val="005D0BC1"/>
    <w:rsid w:val="005E0FFC"/>
    <w:rsid w:val="005E4AA3"/>
    <w:rsid w:val="006437DF"/>
    <w:rsid w:val="00652913"/>
    <w:rsid w:val="006532F0"/>
    <w:rsid w:val="00653791"/>
    <w:rsid w:val="0066507E"/>
    <w:rsid w:val="00671A74"/>
    <w:rsid w:val="006C512C"/>
    <w:rsid w:val="006D20B6"/>
    <w:rsid w:val="006D26A5"/>
    <w:rsid w:val="006D5DEB"/>
    <w:rsid w:val="00703B43"/>
    <w:rsid w:val="00707FBD"/>
    <w:rsid w:val="007116B8"/>
    <w:rsid w:val="00720046"/>
    <w:rsid w:val="0074620B"/>
    <w:rsid w:val="00782B8B"/>
    <w:rsid w:val="007B31E5"/>
    <w:rsid w:val="007B6F8D"/>
    <w:rsid w:val="007D342D"/>
    <w:rsid w:val="007D693B"/>
    <w:rsid w:val="007F5D12"/>
    <w:rsid w:val="00801008"/>
    <w:rsid w:val="008079ED"/>
    <w:rsid w:val="008219E0"/>
    <w:rsid w:val="00826C55"/>
    <w:rsid w:val="00831F0A"/>
    <w:rsid w:val="00891A69"/>
    <w:rsid w:val="008A129F"/>
    <w:rsid w:val="008B1B4B"/>
    <w:rsid w:val="008D643E"/>
    <w:rsid w:val="009238DE"/>
    <w:rsid w:val="009272C7"/>
    <w:rsid w:val="009572FF"/>
    <w:rsid w:val="00960398"/>
    <w:rsid w:val="009625FA"/>
    <w:rsid w:val="009860AA"/>
    <w:rsid w:val="009A02B0"/>
    <w:rsid w:val="009B7D35"/>
    <w:rsid w:val="00A24A82"/>
    <w:rsid w:val="00A30EFE"/>
    <w:rsid w:val="00A7438F"/>
    <w:rsid w:val="00AB224C"/>
    <w:rsid w:val="00AB283C"/>
    <w:rsid w:val="00AD2386"/>
    <w:rsid w:val="00AF551E"/>
    <w:rsid w:val="00B34BCD"/>
    <w:rsid w:val="00B7202B"/>
    <w:rsid w:val="00B72375"/>
    <w:rsid w:val="00BB0B0F"/>
    <w:rsid w:val="00BB1948"/>
    <w:rsid w:val="00BD389C"/>
    <w:rsid w:val="00BE1EFA"/>
    <w:rsid w:val="00BF1E92"/>
    <w:rsid w:val="00C21577"/>
    <w:rsid w:val="00C228D6"/>
    <w:rsid w:val="00C53D3D"/>
    <w:rsid w:val="00CA40AD"/>
    <w:rsid w:val="00CA69BD"/>
    <w:rsid w:val="00CE6DD1"/>
    <w:rsid w:val="00D04A37"/>
    <w:rsid w:val="00D04DAC"/>
    <w:rsid w:val="00D62C0F"/>
    <w:rsid w:val="00D8584E"/>
    <w:rsid w:val="00D866BB"/>
    <w:rsid w:val="00D92419"/>
    <w:rsid w:val="00DA4302"/>
    <w:rsid w:val="00DE17AF"/>
    <w:rsid w:val="00DF7005"/>
    <w:rsid w:val="00E3176D"/>
    <w:rsid w:val="00EE2B70"/>
    <w:rsid w:val="00F13C56"/>
    <w:rsid w:val="00F21CA6"/>
    <w:rsid w:val="00F34B46"/>
    <w:rsid w:val="00F714CC"/>
    <w:rsid w:val="00F813BB"/>
    <w:rsid w:val="00F90A57"/>
    <w:rsid w:val="00F9391C"/>
    <w:rsid w:val="00F93A36"/>
    <w:rsid w:val="00FB3D3F"/>
    <w:rsid w:val="00FB718A"/>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0299"/>
  <w15:docId w15:val="{3087ED03-60BD-419A-8DAB-22D9BD2B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19">
      <w:bodyDiv w:val="1"/>
      <w:marLeft w:val="0"/>
      <w:marRight w:val="0"/>
      <w:marTop w:val="0"/>
      <w:marBottom w:val="0"/>
      <w:divBdr>
        <w:top w:val="none" w:sz="0" w:space="0" w:color="auto"/>
        <w:left w:val="none" w:sz="0" w:space="0" w:color="auto"/>
        <w:bottom w:val="none" w:sz="0" w:space="0" w:color="auto"/>
        <w:right w:val="none" w:sz="0" w:space="0" w:color="auto"/>
      </w:divBdr>
    </w:div>
    <w:div w:id="197160580">
      <w:bodyDiv w:val="1"/>
      <w:marLeft w:val="0"/>
      <w:marRight w:val="0"/>
      <w:marTop w:val="0"/>
      <w:marBottom w:val="0"/>
      <w:divBdr>
        <w:top w:val="none" w:sz="0" w:space="0" w:color="auto"/>
        <w:left w:val="none" w:sz="0" w:space="0" w:color="auto"/>
        <w:bottom w:val="none" w:sz="0" w:space="0" w:color="auto"/>
        <w:right w:val="none" w:sz="0" w:space="0" w:color="auto"/>
      </w:divBdr>
    </w:div>
    <w:div w:id="233904823">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253905755">
      <w:bodyDiv w:val="1"/>
      <w:marLeft w:val="0"/>
      <w:marRight w:val="0"/>
      <w:marTop w:val="0"/>
      <w:marBottom w:val="0"/>
      <w:divBdr>
        <w:top w:val="none" w:sz="0" w:space="0" w:color="auto"/>
        <w:left w:val="none" w:sz="0" w:space="0" w:color="auto"/>
        <w:bottom w:val="none" w:sz="0" w:space="0" w:color="auto"/>
        <w:right w:val="none" w:sz="0" w:space="0" w:color="auto"/>
      </w:divBdr>
    </w:div>
    <w:div w:id="287246933">
      <w:bodyDiv w:val="1"/>
      <w:marLeft w:val="0"/>
      <w:marRight w:val="0"/>
      <w:marTop w:val="0"/>
      <w:marBottom w:val="0"/>
      <w:divBdr>
        <w:top w:val="none" w:sz="0" w:space="0" w:color="auto"/>
        <w:left w:val="none" w:sz="0" w:space="0" w:color="auto"/>
        <w:bottom w:val="none" w:sz="0" w:space="0" w:color="auto"/>
        <w:right w:val="none" w:sz="0" w:space="0" w:color="auto"/>
      </w:divBdr>
    </w:div>
    <w:div w:id="300622671">
      <w:bodyDiv w:val="1"/>
      <w:marLeft w:val="0"/>
      <w:marRight w:val="0"/>
      <w:marTop w:val="0"/>
      <w:marBottom w:val="0"/>
      <w:divBdr>
        <w:top w:val="none" w:sz="0" w:space="0" w:color="auto"/>
        <w:left w:val="none" w:sz="0" w:space="0" w:color="auto"/>
        <w:bottom w:val="none" w:sz="0" w:space="0" w:color="auto"/>
        <w:right w:val="none" w:sz="0" w:space="0" w:color="auto"/>
      </w:divBdr>
    </w:div>
    <w:div w:id="409347157">
      <w:bodyDiv w:val="1"/>
      <w:marLeft w:val="0"/>
      <w:marRight w:val="0"/>
      <w:marTop w:val="0"/>
      <w:marBottom w:val="0"/>
      <w:divBdr>
        <w:top w:val="none" w:sz="0" w:space="0" w:color="auto"/>
        <w:left w:val="none" w:sz="0" w:space="0" w:color="auto"/>
        <w:bottom w:val="none" w:sz="0" w:space="0" w:color="auto"/>
        <w:right w:val="none" w:sz="0" w:space="0" w:color="auto"/>
      </w:divBdr>
      <w:divsChild>
        <w:div w:id="159858773">
          <w:marLeft w:val="0"/>
          <w:marRight w:val="0"/>
          <w:marTop w:val="0"/>
          <w:marBottom w:val="0"/>
          <w:divBdr>
            <w:top w:val="none" w:sz="0" w:space="0" w:color="auto"/>
            <w:left w:val="none" w:sz="0" w:space="0" w:color="auto"/>
            <w:bottom w:val="none" w:sz="0" w:space="0" w:color="auto"/>
            <w:right w:val="none" w:sz="0" w:space="0" w:color="auto"/>
          </w:divBdr>
        </w:div>
        <w:div w:id="361246220">
          <w:marLeft w:val="0"/>
          <w:marRight w:val="0"/>
          <w:marTop w:val="0"/>
          <w:marBottom w:val="0"/>
          <w:divBdr>
            <w:top w:val="none" w:sz="0" w:space="0" w:color="auto"/>
            <w:left w:val="none" w:sz="0" w:space="0" w:color="auto"/>
            <w:bottom w:val="none" w:sz="0" w:space="0" w:color="auto"/>
            <w:right w:val="none" w:sz="0" w:space="0" w:color="auto"/>
          </w:divBdr>
        </w:div>
        <w:div w:id="92868856">
          <w:marLeft w:val="0"/>
          <w:marRight w:val="0"/>
          <w:marTop w:val="0"/>
          <w:marBottom w:val="0"/>
          <w:divBdr>
            <w:top w:val="none" w:sz="0" w:space="0" w:color="auto"/>
            <w:left w:val="none" w:sz="0" w:space="0" w:color="auto"/>
            <w:bottom w:val="none" w:sz="0" w:space="0" w:color="auto"/>
            <w:right w:val="none" w:sz="0" w:space="0" w:color="auto"/>
          </w:divBdr>
        </w:div>
      </w:divsChild>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75614094">
      <w:bodyDiv w:val="1"/>
      <w:marLeft w:val="0"/>
      <w:marRight w:val="0"/>
      <w:marTop w:val="0"/>
      <w:marBottom w:val="0"/>
      <w:divBdr>
        <w:top w:val="none" w:sz="0" w:space="0" w:color="auto"/>
        <w:left w:val="none" w:sz="0" w:space="0" w:color="auto"/>
        <w:bottom w:val="none" w:sz="0" w:space="0" w:color="auto"/>
        <w:right w:val="none" w:sz="0" w:space="0" w:color="auto"/>
      </w:divBdr>
    </w:div>
    <w:div w:id="538514557">
      <w:bodyDiv w:val="1"/>
      <w:marLeft w:val="0"/>
      <w:marRight w:val="0"/>
      <w:marTop w:val="0"/>
      <w:marBottom w:val="0"/>
      <w:divBdr>
        <w:top w:val="none" w:sz="0" w:space="0" w:color="auto"/>
        <w:left w:val="none" w:sz="0" w:space="0" w:color="auto"/>
        <w:bottom w:val="none" w:sz="0" w:space="0" w:color="auto"/>
        <w:right w:val="none" w:sz="0" w:space="0" w:color="auto"/>
      </w:divBdr>
    </w:div>
    <w:div w:id="563028994">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879827737">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71441538">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807042703">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7DDB-D666-479C-933C-782AC5A7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Pages>
  <Words>3279</Words>
  <Characters>19674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Elżbieta Nowacka</cp:lastModifiedBy>
  <cp:revision>88</cp:revision>
  <cp:lastPrinted>2026-02-24T09:39:00Z</cp:lastPrinted>
  <dcterms:created xsi:type="dcterms:W3CDTF">2019-03-05T13:27:00Z</dcterms:created>
  <dcterms:modified xsi:type="dcterms:W3CDTF">2026-02-24T09:39:00Z</dcterms:modified>
</cp:coreProperties>
</file>