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167E" w14:textId="3B7FFD5C" w:rsidR="00960398" w:rsidRDefault="005E4AA3" w:rsidP="00C21577">
      <w:pPr>
        <w:ind w:left="4956" w:firstLine="708"/>
        <w:rPr>
          <w:b/>
          <w:color w:val="2E2014"/>
          <w:sz w:val="24"/>
          <w:szCs w:val="24"/>
        </w:rPr>
      </w:pPr>
      <w:r w:rsidRPr="005E4AA3">
        <w:rPr>
          <w:b/>
          <w:color w:val="2E2014"/>
          <w:sz w:val="24"/>
          <w:szCs w:val="24"/>
        </w:rPr>
        <w:t>INFORMACJA  DODATKOWA</w:t>
      </w:r>
    </w:p>
    <w:p w14:paraId="7C11BF87" w14:textId="77777777" w:rsidR="00891A69" w:rsidRDefault="00891A69" w:rsidP="00891A69">
      <w:pPr>
        <w:rPr>
          <w:b/>
          <w:color w:val="2E2014"/>
          <w:sz w:val="24"/>
          <w:szCs w:val="24"/>
        </w:rPr>
      </w:pPr>
    </w:p>
    <w:tbl>
      <w:tblPr>
        <w:tblStyle w:val="Tabela-Siatka"/>
        <w:tblW w:w="15471" w:type="dxa"/>
        <w:tblLook w:val="04A0" w:firstRow="1" w:lastRow="0" w:firstColumn="1" w:lastColumn="0" w:noHBand="0" w:noVBand="1"/>
      </w:tblPr>
      <w:tblGrid>
        <w:gridCol w:w="622"/>
        <w:gridCol w:w="14862"/>
      </w:tblGrid>
      <w:tr w:rsidR="00891A69" w14:paraId="550BF756" w14:textId="77777777" w:rsidTr="00BA14E8">
        <w:tc>
          <w:tcPr>
            <w:tcW w:w="421" w:type="dxa"/>
          </w:tcPr>
          <w:p w14:paraId="4FEDA3A4" w14:textId="77777777" w:rsidR="00891A69" w:rsidRPr="004112BB" w:rsidRDefault="002E703F" w:rsidP="00891A69">
            <w:pPr>
              <w:rPr>
                <w:b/>
                <w:sz w:val="20"/>
                <w:szCs w:val="20"/>
              </w:rPr>
            </w:pPr>
            <w:r w:rsidRPr="004112BB">
              <w:rPr>
                <w:b/>
                <w:sz w:val="20"/>
                <w:szCs w:val="20"/>
              </w:rPr>
              <w:t>I.</w:t>
            </w:r>
          </w:p>
        </w:tc>
        <w:tc>
          <w:tcPr>
            <w:tcW w:w="15050" w:type="dxa"/>
          </w:tcPr>
          <w:p w14:paraId="6AAB9F52"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5B91FA6D" w14:textId="77777777" w:rsidTr="00BA14E8">
        <w:tc>
          <w:tcPr>
            <w:tcW w:w="421" w:type="dxa"/>
          </w:tcPr>
          <w:p w14:paraId="471C8352" w14:textId="77777777" w:rsidR="00891A69" w:rsidRPr="002E703F" w:rsidRDefault="002E703F" w:rsidP="00891A69">
            <w:pPr>
              <w:rPr>
                <w:sz w:val="20"/>
                <w:szCs w:val="20"/>
              </w:rPr>
            </w:pPr>
            <w:r w:rsidRPr="002E703F">
              <w:rPr>
                <w:sz w:val="20"/>
                <w:szCs w:val="20"/>
              </w:rPr>
              <w:t>1.</w:t>
            </w:r>
          </w:p>
        </w:tc>
        <w:tc>
          <w:tcPr>
            <w:tcW w:w="15050" w:type="dxa"/>
          </w:tcPr>
          <w:p w14:paraId="2BE6BBE7" w14:textId="77777777" w:rsidR="00891A69" w:rsidRDefault="00891A69" w:rsidP="00891A69">
            <w:pPr>
              <w:rPr>
                <w:b/>
                <w:sz w:val="24"/>
                <w:szCs w:val="24"/>
              </w:rPr>
            </w:pPr>
          </w:p>
          <w:p w14:paraId="4DC361F6" w14:textId="77777777" w:rsidR="00C21577" w:rsidRDefault="00C21577" w:rsidP="00891A69">
            <w:pPr>
              <w:rPr>
                <w:b/>
                <w:sz w:val="24"/>
                <w:szCs w:val="24"/>
              </w:rPr>
            </w:pPr>
          </w:p>
        </w:tc>
      </w:tr>
      <w:tr w:rsidR="00891A69" w14:paraId="7C3D6976" w14:textId="77777777" w:rsidTr="00BA14E8">
        <w:tc>
          <w:tcPr>
            <w:tcW w:w="421" w:type="dxa"/>
          </w:tcPr>
          <w:p w14:paraId="0A40FC32" w14:textId="77777777" w:rsidR="00891A69" w:rsidRPr="002E703F" w:rsidRDefault="002E703F" w:rsidP="00891A69">
            <w:pPr>
              <w:rPr>
                <w:sz w:val="20"/>
                <w:szCs w:val="20"/>
              </w:rPr>
            </w:pPr>
            <w:r w:rsidRPr="002E703F">
              <w:rPr>
                <w:sz w:val="20"/>
                <w:szCs w:val="20"/>
              </w:rPr>
              <w:t>1.1</w:t>
            </w:r>
          </w:p>
        </w:tc>
        <w:tc>
          <w:tcPr>
            <w:tcW w:w="15050" w:type="dxa"/>
          </w:tcPr>
          <w:p w14:paraId="7A17C069" w14:textId="77777777" w:rsidR="00891A69" w:rsidRDefault="002E703F" w:rsidP="00891A69">
            <w:pPr>
              <w:rPr>
                <w:b/>
                <w:sz w:val="24"/>
                <w:szCs w:val="24"/>
              </w:rPr>
            </w:pPr>
            <w:r>
              <w:rPr>
                <w:color w:val="2E2014"/>
                <w:sz w:val="20"/>
                <w:szCs w:val="20"/>
              </w:rPr>
              <w:t>nazwę jednostki</w:t>
            </w:r>
          </w:p>
        </w:tc>
      </w:tr>
      <w:tr w:rsidR="00891A69" w14:paraId="466D5B77" w14:textId="77777777" w:rsidTr="00BA14E8">
        <w:tc>
          <w:tcPr>
            <w:tcW w:w="421" w:type="dxa"/>
          </w:tcPr>
          <w:p w14:paraId="5B03D4AB" w14:textId="77777777" w:rsidR="00891A69" w:rsidRDefault="00891A69" w:rsidP="00891A69">
            <w:pPr>
              <w:rPr>
                <w:b/>
                <w:sz w:val="24"/>
                <w:szCs w:val="24"/>
              </w:rPr>
            </w:pPr>
          </w:p>
        </w:tc>
        <w:tc>
          <w:tcPr>
            <w:tcW w:w="15050" w:type="dxa"/>
          </w:tcPr>
          <w:p w14:paraId="3D028740" w14:textId="77777777" w:rsidR="00C21577" w:rsidRPr="00583F3E" w:rsidRDefault="00C21577" w:rsidP="00891A69">
            <w:pPr>
              <w:rPr>
                <w:rFonts w:ascii="Arial Narrow" w:hAnsi="Arial Narrow"/>
              </w:rPr>
            </w:pPr>
          </w:p>
          <w:p w14:paraId="250B8801" w14:textId="77777777" w:rsidR="00891A69" w:rsidRPr="00583F3E" w:rsidRDefault="00583F3E" w:rsidP="00891A69">
            <w:r w:rsidRPr="00583F3E">
              <w:rPr>
                <w:rFonts w:ascii="Arial Narrow" w:hAnsi="Arial Narrow"/>
              </w:rPr>
              <w:t>Szkoła Podstawowa nr  2 im. Polskich Olimpijczyków</w:t>
            </w:r>
            <w:r>
              <w:rPr>
                <w:rFonts w:ascii="Arial Narrow" w:hAnsi="Arial Narrow"/>
              </w:rPr>
              <w:t xml:space="preserve"> we Włocławku</w:t>
            </w:r>
          </w:p>
        </w:tc>
      </w:tr>
      <w:tr w:rsidR="00891A69" w14:paraId="51E7A238" w14:textId="77777777" w:rsidTr="00BA14E8">
        <w:tc>
          <w:tcPr>
            <w:tcW w:w="421" w:type="dxa"/>
          </w:tcPr>
          <w:p w14:paraId="6C5ABA8C" w14:textId="77777777" w:rsidR="00891A69" w:rsidRPr="002E703F" w:rsidRDefault="002E703F" w:rsidP="00891A69">
            <w:pPr>
              <w:rPr>
                <w:sz w:val="20"/>
                <w:szCs w:val="20"/>
              </w:rPr>
            </w:pPr>
            <w:r w:rsidRPr="002E703F">
              <w:rPr>
                <w:sz w:val="20"/>
                <w:szCs w:val="20"/>
              </w:rPr>
              <w:t>1.2</w:t>
            </w:r>
          </w:p>
        </w:tc>
        <w:tc>
          <w:tcPr>
            <w:tcW w:w="15050" w:type="dxa"/>
          </w:tcPr>
          <w:p w14:paraId="6FB37049" w14:textId="77777777" w:rsidR="00891A69" w:rsidRDefault="002E703F" w:rsidP="00891A69">
            <w:pPr>
              <w:rPr>
                <w:b/>
                <w:sz w:val="24"/>
                <w:szCs w:val="24"/>
              </w:rPr>
            </w:pPr>
            <w:r>
              <w:rPr>
                <w:color w:val="2E2014"/>
                <w:sz w:val="20"/>
                <w:szCs w:val="20"/>
              </w:rPr>
              <w:t>siedzibę jednostki</w:t>
            </w:r>
          </w:p>
        </w:tc>
      </w:tr>
      <w:tr w:rsidR="00891A69" w14:paraId="03961852" w14:textId="77777777" w:rsidTr="00BA14E8">
        <w:tc>
          <w:tcPr>
            <w:tcW w:w="421" w:type="dxa"/>
          </w:tcPr>
          <w:p w14:paraId="3E47285E" w14:textId="77777777" w:rsidR="00891A69" w:rsidRDefault="00891A69" w:rsidP="00891A69">
            <w:pPr>
              <w:rPr>
                <w:b/>
                <w:sz w:val="24"/>
                <w:szCs w:val="24"/>
              </w:rPr>
            </w:pPr>
          </w:p>
        </w:tc>
        <w:tc>
          <w:tcPr>
            <w:tcW w:w="15050" w:type="dxa"/>
          </w:tcPr>
          <w:p w14:paraId="4AE478D0" w14:textId="77777777" w:rsidR="00891A69" w:rsidRDefault="00891A69" w:rsidP="00891A69">
            <w:pPr>
              <w:rPr>
                <w:b/>
                <w:sz w:val="24"/>
                <w:szCs w:val="24"/>
              </w:rPr>
            </w:pPr>
          </w:p>
          <w:p w14:paraId="39FB9529" w14:textId="77777777" w:rsidR="00C21577" w:rsidRPr="00583F3E" w:rsidRDefault="00583F3E" w:rsidP="00891A69">
            <w:pPr>
              <w:rPr>
                <w:rFonts w:ascii="Arial Narrow" w:hAnsi="Arial Narrow"/>
                <w:sz w:val="24"/>
                <w:szCs w:val="24"/>
              </w:rPr>
            </w:pPr>
            <w:r w:rsidRPr="00583F3E">
              <w:rPr>
                <w:rFonts w:ascii="Arial Narrow" w:hAnsi="Arial Narrow"/>
                <w:sz w:val="24"/>
                <w:szCs w:val="24"/>
              </w:rPr>
              <w:t>Ul. Żytnia 47,</w:t>
            </w:r>
            <w:r w:rsidR="0042497B" w:rsidRPr="00583F3E">
              <w:rPr>
                <w:rFonts w:ascii="Arial Narrow" w:hAnsi="Arial Narrow"/>
                <w:sz w:val="24"/>
                <w:szCs w:val="24"/>
              </w:rPr>
              <w:t xml:space="preserve">   87-800 Włocławek</w:t>
            </w:r>
          </w:p>
        </w:tc>
      </w:tr>
      <w:tr w:rsidR="00891A69" w14:paraId="6257B632" w14:textId="77777777" w:rsidTr="00BA14E8">
        <w:tc>
          <w:tcPr>
            <w:tcW w:w="421" w:type="dxa"/>
          </w:tcPr>
          <w:p w14:paraId="302FADC6" w14:textId="77777777" w:rsidR="00891A69" w:rsidRPr="002E703F" w:rsidRDefault="002E703F" w:rsidP="00891A69">
            <w:pPr>
              <w:rPr>
                <w:sz w:val="20"/>
                <w:szCs w:val="20"/>
              </w:rPr>
            </w:pPr>
            <w:r w:rsidRPr="002E703F">
              <w:rPr>
                <w:sz w:val="20"/>
                <w:szCs w:val="20"/>
              </w:rPr>
              <w:t>1.3</w:t>
            </w:r>
          </w:p>
        </w:tc>
        <w:tc>
          <w:tcPr>
            <w:tcW w:w="15050" w:type="dxa"/>
          </w:tcPr>
          <w:p w14:paraId="302A504F" w14:textId="77777777" w:rsidR="00891A69" w:rsidRDefault="002E703F" w:rsidP="00891A69">
            <w:pPr>
              <w:rPr>
                <w:b/>
                <w:sz w:val="24"/>
                <w:szCs w:val="24"/>
              </w:rPr>
            </w:pPr>
            <w:r>
              <w:rPr>
                <w:color w:val="2E2014"/>
                <w:sz w:val="20"/>
                <w:szCs w:val="20"/>
              </w:rPr>
              <w:t>adres jednostki</w:t>
            </w:r>
          </w:p>
        </w:tc>
      </w:tr>
      <w:tr w:rsidR="00891A69" w14:paraId="6BFBEC70" w14:textId="77777777" w:rsidTr="00BA14E8">
        <w:tc>
          <w:tcPr>
            <w:tcW w:w="421" w:type="dxa"/>
          </w:tcPr>
          <w:p w14:paraId="59F591A6" w14:textId="77777777" w:rsidR="00891A69" w:rsidRDefault="00891A69" w:rsidP="00891A69">
            <w:pPr>
              <w:rPr>
                <w:b/>
                <w:sz w:val="24"/>
                <w:szCs w:val="24"/>
              </w:rPr>
            </w:pPr>
          </w:p>
        </w:tc>
        <w:tc>
          <w:tcPr>
            <w:tcW w:w="15050" w:type="dxa"/>
          </w:tcPr>
          <w:p w14:paraId="3CE18650" w14:textId="77777777" w:rsidR="00891A69" w:rsidRPr="00583F3E" w:rsidRDefault="00891A69" w:rsidP="00891A69">
            <w:pPr>
              <w:rPr>
                <w:rFonts w:ascii="Arial Narrow" w:hAnsi="Arial Narrow"/>
                <w:b/>
                <w:sz w:val="24"/>
                <w:szCs w:val="24"/>
              </w:rPr>
            </w:pPr>
          </w:p>
          <w:p w14:paraId="32EA9251" w14:textId="77777777" w:rsidR="00C21577" w:rsidRPr="006A1249" w:rsidRDefault="0042497B" w:rsidP="00583F3E">
            <w:pPr>
              <w:rPr>
                <w:sz w:val="24"/>
                <w:szCs w:val="24"/>
              </w:rPr>
            </w:pPr>
            <w:r w:rsidRPr="00583F3E">
              <w:rPr>
                <w:rFonts w:ascii="Arial Narrow" w:hAnsi="Arial Narrow"/>
                <w:sz w:val="24"/>
                <w:szCs w:val="24"/>
              </w:rPr>
              <w:t xml:space="preserve">Ul. </w:t>
            </w:r>
            <w:r w:rsidR="00583F3E" w:rsidRPr="00583F3E">
              <w:rPr>
                <w:rFonts w:ascii="Arial Narrow" w:hAnsi="Arial Narrow"/>
                <w:sz w:val="24"/>
                <w:szCs w:val="24"/>
              </w:rPr>
              <w:t>Żytnia 47,   87-800 Włocławek</w:t>
            </w:r>
          </w:p>
        </w:tc>
      </w:tr>
      <w:tr w:rsidR="00891A69" w14:paraId="681A5756" w14:textId="77777777" w:rsidTr="00BA14E8">
        <w:tc>
          <w:tcPr>
            <w:tcW w:w="421" w:type="dxa"/>
          </w:tcPr>
          <w:p w14:paraId="3AAA7BAD" w14:textId="77777777" w:rsidR="00891A69" w:rsidRPr="002E703F" w:rsidRDefault="002E703F" w:rsidP="00891A69">
            <w:pPr>
              <w:rPr>
                <w:sz w:val="20"/>
                <w:szCs w:val="20"/>
              </w:rPr>
            </w:pPr>
            <w:r w:rsidRPr="002E703F">
              <w:rPr>
                <w:sz w:val="20"/>
                <w:szCs w:val="20"/>
              </w:rPr>
              <w:t>1.4</w:t>
            </w:r>
          </w:p>
        </w:tc>
        <w:tc>
          <w:tcPr>
            <w:tcW w:w="15050" w:type="dxa"/>
          </w:tcPr>
          <w:p w14:paraId="39576068" w14:textId="77777777" w:rsidR="00891A69" w:rsidRDefault="002E703F" w:rsidP="00891A69">
            <w:pPr>
              <w:rPr>
                <w:b/>
                <w:sz w:val="24"/>
                <w:szCs w:val="24"/>
              </w:rPr>
            </w:pPr>
            <w:r>
              <w:rPr>
                <w:color w:val="2E2014"/>
                <w:sz w:val="20"/>
                <w:szCs w:val="20"/>
              </w:rPr>
              <w:t>podstawowy przedmiot działalności jednostki</w:t>
            </w:r>
          </w:p>
        </w:tc>
      </w:tr>
      <w:tr w:rsidR="00891A69" w14:paraId="2E675A92" w14:textId="77777777" w:rsidTr="00BA14E8">
        <w:tc>
          <w:tcPr>
            <w:tcW w:w="421" w:type="dxa"/>
          </w:tcPr>
          <w:p w14:paraId="55956B1D" w14:textId="77777777" w:rsidR="00891A69" w:rsidRPr="00AD2386" w:rsidRDefault="00891A69" w:rsidP="00891A69">
            <w:pPr>
              <w:rPr>
                <w:sz w:val="20"/>
                <w:szCs w:val="20"/>
              </w:rPr>
            </w:pPr>
          </w:p>
        </w:tc>
        <w:tc>
          <w:tcPr>
            <w:tcW w:w="15050" w:type="dxa"/>
          </w:tcPr>
          <w:p w14:paraId="603B0E73" w14:textId="77777777" w:rsidR="006A1249" w:rsidRPr="009C71DF" w:rsidRDefault="006A1249" w:rsidP="006A1249">
            <w:pPr>
              <w:autoSpaceDE w:val="0"/>
              <w:autoSpaceDN w:val="0"/>
              <w:adjustRightInd w:val="0"/>
              <w:rPr>
                <w:rFonts w:ascii="Arial Narrow" w:hAnsi="Arial Narrow" w:cs="TimesNewRomanPSMT"/>
                <w:sz w:val="24"/>
                <w:szCs w:val="24"/>
              </w:rPr>
            </w:pPr>
            <w:r w:rsidRPr="009C71DF">
              <w:rPr>
                <w:rFonts w:ascii="Arial Narrow" w:hAnsi="Arial Narrow" w:cs="TimesNewRomanPSMT"/>
                <w:sz w:val="24"/>
                <w:szCs w:val="24"/>
              </w:rPr>
              <w:t>Podstawę prawną działalności Szkoły Podstawowej nr 2 stanowi ustawa z dnia 14 grudnia 2016 r. Prawo</w:t>
            </w:r>
          </w:p>
          <w:p w14:paraId="54A64697" w14:textId="6F4528B7" w:rsidR="00891A69" w:rsidRPr="009C71DF" w:rsidRDefault="006A1249" w:rsidP="006A1249">
            <w:pPr>
              <w:autoSpaceDE w:val="0"/>
              <w:autoSpaceDN w:val="0"/>
              <w:adjustRightInd w:val="0"/>
              <w:rPr>
                <w:rFonts w:ascii="Arial Narrow" w:hAnsi="Arial Narrow"/>
                <w:b/>
                <w:sz w:val="24"/>
                <w:szCs w:val="24"/>
              </w:rPr>
            </w:pPr>
            <w:r w:rsidRPr="009C71DF">
              <w:rPr>
                <w:rFonts w:ascii="Arial Narrow" w:hAnsi="Arial Narrow" w:cs="TimesNewRomanPSMT"/>
                <w:sz w:val="24"/>
                <w:szCs w:val="24"/>
              </w:rPr>
              <w:t>Oświatowe (tekst jednolity Dz.U. z 2017 r. poz. 59) oraz wydane do niej przepisy wykonawcze oraz Statut Szkoły Podstawowej nr 2.</w:t>
            </w:r>
          </w:p>
          <w:p w14:paraId="09EEEF84" w14:textId="77777777" w:rsidR="00C21577" w:rsidRPr="009C71DF" w:rsidRDefault="00C21577" w:rsidP="00891A69">
            <w:pPr>
              <w:rPr>
                <w:rFonts w:ascii="Arial Narrow" w:hAnsi="Arial Narrow"/>
                <w:b/>
                <w:sz w:val="24"/>
                <w:szCs w:val="24"/>
              </w:rPr>
            </w:pPr>
          </w:p>
        </w:tc>
      </w:tr>
      <w:tr w:rsidR="00891A69" w14:paraId="566C7499" w14:textId="77777777" w:rsidTr="00BA14E8">
        <w:tc>
          <w:tcPr>
            <w:tcW w:w="421" w:type="dxa"/>
          </w:tcPr>
          <w:p w14:paraId="4E0A4EAE" w14:textId="77777777" w:rsidR="00891A69" w:rsidRPr="00AD2386" w:rsidRDefault="00AD2386" w:rsidP="00891A69">
            <w:pPr>
              <w:rPr>
                <w:sz w:val="20"/>
                <w:szCs w:val="20"/>
              </w:rPr>
            </w:pPr>
            <w:r>
              <w:rPr>
                <w:sz w:val="20"/>
                <w:szCs w:val="20"/>
              </w:rPr>
              <w:t>2.</w:t>
            </w:r>
          </w:p>
        </w:tc>
        <w:tc>
          <w:tcPr>
            <w:tcW w:w="15050" w:type="dxa"/>
          </w:tcPr>
          <w:p w14:paraId="7C795986" w14:textId="77777777" w:rsidR="00891A69" w:rsidRDefault="00AD2386" w:rsidP="00891A69">
            <w:pPr>
              <w:rPr>
                <w:b/>
                <w:sz w:val="24"/>
                <w:szCs w:val="24"/>
              </w:rPr>
            </w:pPr>
            <w:r>
              <w:rPr>
                <w:color w:val="2E2014"/>
                <w:sz w:val="20"/>
                <w:szCs w:val="20"/>
              </w:rPr>
              <w:t>wskazanie okresu objętego sprawozdaniem</w:t>
            </w:r>
          </w:p>
        </w:tc>
      </w:tr>
      <w:tr w:rsidR="00891A69" w14:paraId="4A777DCA" w14:textId="77777777" w:rsidTr="00BA14E8">
        <w:tc>
          <w:tcPr>
            <w:tcW w:w="421" w:type="dxa"/>
          </w:tcPr>
          <w:p w14:paraId="19C1E26F" w14:textId="77777777" w:rsidR="00891A69" w:rsidRPr="00AD2386" w:rsidRDefault="00891A69" w:rsidP="00891A69">
            <w:pPr>
              <w:rPr>
                <w:sz w:val="20"/>
                <w:szCs w:val="20"/>
              </w:rPr>
            </w:pPr>
          </w:p>
        </w:tc>
        <w:tc>
          <w:tcPr>
            <w:tcW w:w="15050" w:type="dxa"/>
          </w:tcPr>
          <w:p w14:paraId="3E186F6D" w14:textId="3EE8158C" w:rsidR="00891A69" w:rsidRPr="00583F3E" w:rsidRDefault="006437DF" w:rsidP="00891A69">
            <w:pPr>
              <w:rPr>
                <w:rFonts w:ascii="Arial Narrow" w:hAnsi="Arial Narrow"/>
              </w:rPr>
            </w:pPr>
            <w:r w:rsidRPr="00583F3E">
              <w:rPr>
                <w:rFonts w:ascii="Arial Narrow" w:hAnsi="Arial Narrow"/>
              </w:rPr>
              <w:t>01 stycznia 20</w:t>
            </w:r>
            <w:r w:rsidR="00466070">
              <w:rPr>
                <w:rFonts w:ascii="Arial Narrow" w:hAnsi="Arial Narrow"/>
              </w:rPr>
              <w:t>2</w:t>
            </w:r>
            <w:r w:rsidR="00FB793D">
              <w:rPr>
                <w:rFonts w:ascii="Arial Narrow" w:hAnsi="Arial Narrow"/>
              </w:rPr>
              <w:t>5</w:t>
            </w:r>
            <w:r w:rsidRPr="00583F3E">
              <w:rPr>
                <w:rFonts w:ascii="Arial Narrow" w:hAnsi="Arial Narrow"/>
              </w:rPr>
              <w:t xml:space="preserve"> -31 grudnia 20</w:t>
            </w:r>
            <w:r w:rsidR="00466070">
              <w:rPr>
                <w:rFonts w:ascii="Arial Narrow" w:hAnsi="Arial Narrow"/>
              </w:rPr>
              <w:t>2</w:t>
            </w:r>
            <w:r w:rsidR="00FB793D">
              <w:rPr>
                <w:rFonts w:ascii="Arial Narrow" w:hAnsi="Arial Narrow"/>
              </w:rPr>
              <w:t>5</w:t>
            </w:r>
          </w:p>
        </w:tc>
      </w:tr>
      <w:tr w:rsidR="00891A69" w14:paraId="1E3EDB38" w14:textId="77777777" w:rsidTr="00BA14E8">
        <w:tc>
          <w:tcPr>
            <w:tcW w:w="421" w:type="dxa"/>
          </w:tcPr>
          <w:p w14:paraId="65219C60" w14:textId="77777777" w:rsidR="00891A69" w:rsidRPr="00AD2386" w:rsidRDefault="00AD2386" w:rsidP="00891A69">
            <w:pPr>
              <w:rPr>
                <w:sz w:val="20"/>
                <w:szCs w:val="20"/>
              </w:rPr>
            </w:pPr>
            <w:r>
              <w:rPr>
                <w:sz w:val="20"/>
                <w:szCs w:val="20"/>
              </w:rPr>
              <w:t>3.</w:t>
            </w:r>
          </w:p>
        </w:tc>
        <w:tc>
          <w:tcPr>
            <w:tcW w:w="15050" w:type="dxa"/>
          </w:tcPr>
          <w:p w14:paraId="55790197"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51328F5C" w14:textId="77777777" w:rsidTr="00BA14E8">
        <w:tc>
          <w:tcPr>
            <w:tcW w:w="421" w:type="dxa"/>
          </w:tcPr>
          <w:p w14:paraId="6C6CB341" w14:textId="77777777" w:rsidR="00891A69" w:rsidRPr="00AD2386" w:rsidRDefault="00891A69" w:rsidP="00891A69">
            <w:pPr>
              <w:rPr>
                <w:sz w:val="20"/>
                <w:szCs w:val="20"/>
              </w:rPr>
            </w:pPr>
          </w:p>
        </w:tc>
        <w:tc>
          <w:tcPr>
            <w:tcW w:w="15050" w:type="dxa"/>
          </w:tcPr>
          <w:p w14:paraId="2125C27F" w14:textId="77777777" w:rsidR="00891A69" w:rsidRDefault="00891A69" w:rsidP="00891A69">
            <w:pPr>
              <w:rPr>
                <w:b/>
                <w:sz w:val="24"/>
                <w:szCs w:val="24"/>
              </w:rPr>
            </w:pPr>
          </w:p>
          <w:p w14:paraId="40A33B9B" w14:textId="77777777" w:rsidR="00C21577" w:rsidRDefault="00C21577" w:rsidP="00891A69">
            <w:pPr>
              <w:rPr>
                <w:b/>
                <w:sz w:val="24"/>
                <w:szCs w:val="24"/>
              </w:rPr>
            </w:pPr>
          </w:p>
        </w:tc>
      </w:tr>
      <w:tr w:rsidR="00891A69" w14:paraId="5C888C64" w14:textId="77777777" w:rsidTr="00BA14E8">
        <w:tc>
          <w:tcPr>
            <w:tcW w:w="421" w:type="dxa"/>
          </w:tcPr>
          <w:p w14:paraId="1BB2A566" w14:textId="77777777" w:rsidR="00891A69" w:rsidRPr="00AD2386" w:rsidRDefault="00AD2386" w:rsidP="00891A69">
            <w:pPr>
              <w:rPr>
                <w:sz w:val="20"/>
                <w:szCs w:val="20"/>
              </w:rPr>
            </w:pPr>
            <w:r>
              <w:rPr>
                <w:sz w:val="20"/>
                <w:szCs w:val="20"/>
              </w:rPr>
              <w:t>4.</w:t>
            </w:r>
          </w:p>
        </w:tc>
        <w:tc>
          <w:tcPr>
            <w:tcW w:w="15050" w:type="dxa"/>
          </w:tcPr>
          <w:p w14:paraId="2F7FFFE4"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74BFA476" w14:textId="77777777" w:rsidTr="00BA14E8">
        <w:tc>
          <w:tcPr>
            <w:tcW w:w="421" w:type="dxa"/>
          </w:tcPr>
          <w:p w14:paraId="7D7ECBDD" w14:textId="77777777" w:rsidR="00891A69" w:rsidRDefault="00891A69" w:rsidP="00891A69">
            <w:pPr>
              <w:rPr>
                <w:b/>
                <w:sz w:val="24"/>
                <w:szCs w:val="24"/>
              </w:rPr>
            </w:pPr>
          </w:p>
        </w:tc>
        <w:tc>
          <w:tcPr>
            <w:tcW w:w="15050" w:type="dxa"/>
          </w:tcPr>
          <w:p w14:paraId="045FE0F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6D45103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0D8BA3D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411A0A4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1F086FE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21BAAAC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1137037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14:paraId="068CBE4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606C7FA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3D6A5661"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338094D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66DBC304"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17D55D67"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6F6CEFF0"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13DBAE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78372A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7770AA0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383775BB" w14:textId="77777777" w:rsidR="008219E0" w:rsidRPr="00C21577" w:rsidRDefault="00C21577" w:rsidP="00547A6E">
            <w:pPr>
              <w:autoSpaceDE w:val="0"/>
              <w:autoSpaceDN w:val="0"/>
              <w:adjustRightInd w:val="0"/>
              <w:rPr>
                <w:rFonts w:ascii="Arial Narrow" w:hAnsi="Arial Narrow" w:cstheme="minorHAnsi"/>
              </w:rPr>
            </w:pPr>
            <w:r w:rsidRPr="00C21577">
              <w:rPr>
                <w:rFonts w:ascii="Arial Narrow" w:hAnsi="Arial Narrow" w:cstheme="minorHAnsi"/>
              </w:rPr>
              <w:t>2.</w:t>
            </w:r>
            <w:r w:rsidR="00547A6E">
              <w:rPr>
                <w:rFonts w:ascii="Arial Narrow" w:hAnsi="Arial Narrow" w:cstheme="minorHAnsi"/>
              </w:rPr>
              <w:t xml:space="preserve"> </w:t>
            </w:r>
            <w:r w:rsidR="008219E0" w:rsidRPr="00C21577">
              <w:rPr>
                <w:rFonts w:ascii="Arial Narrow" w:hAnsi="Arial Narrow" w:cstheme="minorHAnsi"/>
              </w:rPr>
              <w:t>Środki dydaktyczne służące procesowi dydaktyczno-wychowawczemu realizowanemu w szkołach i placówkach oświatowych.</w:t>
            </w:r>
          </w:p>
          <w:p w14:paraId="42AC60C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6A095D9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458B657"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5A57CF77"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75BEFA5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3A96F44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4C275BB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1CF6F76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497D84B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6F59C5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62049CC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65FFA7D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1BD7586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2F67F53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4237DC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(Wn – Ma),</w:t>
            </w:r>
          </w:p>
          <w:p w14:paraId="740011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księgi pomocnicze (analityczne),</w:t>
            </w:r>
          </w:p>
          <w:p w14:paraId="419B98E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0946E8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00415C1F" w14:textId="18368740" w:rsidR="008219E0" w:rsidRPr="00C21577" w:rsidRDefault="008219E0" w:rsidP="00466070">
            <w:pPr>
              <w:autoSpaceDE w:val="0"/>
              <w:autoSpaceDN w:val="0"/>
              <w:adjustRightInd w:val="0"/>
              <w:rPr>
                <w:rFonts w:ascii="Arial Narrow" w:hAnsi="Arial Narrow" w:cstheme="minorHAnsi"/>
              </w:rPr>
            </w:pPr>
            <w:r w:rsidRPr="00C21577">
              <w:rPr>
                <w:rFonts w:ascii="Arial Narrow" w:hAnsi="Arial Narrow" w:cstheme="minorHAns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w:t>
            </w:r>
            <w:r w:rsidR="0037164F">
              <w:rPr>
                <w:rFonts w:ascii="Arial Narrow" w:hAnsi="Arial Narrow" w:cstheme="minorHAnsi"/>
              </w:rPr>
              <w:t xml:space="preserve"> </w:t>
            </w:r>
            <w:r w:rsidRPr="00C21577">
              <w:rPr>
                <w:rFonts w:ascii="Arial Narrow" w:hAnsi="Arial Narrow" w:cstheme="minorHAnsi"/>
              </w:rPr>
              <w:t>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677CE7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1D39078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2FE2627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1AE75CD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38E0C0F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215804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48BAE9A1" w14:textId="77777777" w:rsidR="008219E0" w:rsidRPr="00C21577" w:rsidRDefault="008219E0" w:rsidP="00547A6E">
            <w:pPr>
              <w:autoSpaceDE w:val="0"/>
              <w:autoSpaceDN w:val="0"/>
              <w:adjustRightInd w:val="0"/>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45A1A1F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64CEC6A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6BA823F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2C79EF57"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5CDFA044"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0A142B5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42D086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54CE1F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02A71A8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5FB2383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53244BA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3277788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2C57764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w:t>
            </w:r>
            <w:r w:rsidRPr="00C21577">
              <w:rPr>
                <w:rFonts w:ascii="Arial Narrow" w:hAnsi="Arial Narrow" w:cstheme="minorHAnsi"/>
              </w:rPr>
              <w:lastRenderedPageBreak/>
              <w:t>analitycznej z syntetyczną oraz stanów magazynu na koniec miesiąca. Cenę ewidencyjną materiałów stanowi cena zakupu brutto. Na dzień bilansowy zapas materiałów w magazynie wycenia się w cenie zakupu brutto.</w:t>
            </w:r>
          </w:p>
          <w:p w14:paraId="3260AA0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41689A0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4E9C83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77B2153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05E47371"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282D59CB"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6EDA8CDF"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515B35D4"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332CF8B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5F4EFB4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740B5285"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7169B63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7F7F7BFE"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58C4CBC3"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2CD0AB9B" w14:textId="486A7449" w:rsidR="00CE6DD1"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5C541420"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20950005"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0F2E84FB"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06B03767"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314A0FF5"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015303EC"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68CA2702"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2E47735C" w14:textId="77777777" w:rsidR="008219E0" w:rsidRPr="00C21577" w:rsidRDefault="008219E0" w:rsidP="00583F3E">
            <w:pPr>
              <w:autoSpaceDE w:val="0"/>
              <w:autoSpaceDN w:val="0"/>
              <w:adjustRightInd w:val="0"/>
              <w:contextualSpacing/>
              <w:rPr>
                <w:rFonts w:ascii="Arial Narrow" w:hAnsi="Arial Narrow" w:cstheme="minorHAnsi"/>
              </w:rPr>
            </w:pPr>
            <w:r w:rsidRPr="00C21577">
              <w:rPr>
                <w:rFonts w:ascii="Arial Narrow" w:hAnsi="Arial Narrow" w:cstheme="minorHAnsi"/>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06216A7D" w14:textId="77777777" w:rsidR="008219E0" w:rsidRPr="00C21577" w:rsidRDefault="008219E0" w:rsidP="00583F3E">
            <w:pPr>
              <w:autoSpaceDE w:val="0"/>
              <w:autoSpaceDN w:val="0"/>
              <w:adjustRightInd w:val="0"/>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14:paraId="4AFEFDA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3354B02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52F6978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6A55DB97" w14:textId="77777777" w:rsidR="00D44F7C" w:rsidRDefault="008219E0" w:rsidP="00D44F7C">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71CF9108" w14:textId="7AD63081" w:rsidR="00D44F7C" w:rsidRPr="00D44F7C" w:rsidRDefault="00D44F7C" w:rsidP="00D44F7C">
            <w:pPr>
              <w:autoSpaceDE w:val="0"/>
              <w:autoSpaceDN w:val="0"/>
              <w:adjustRightInd w:val="0"/>
              <w:jc w:val="both"/>
              <w:rPr>
                <w:rFonts w:ascii="Arial Narrow" w:hAnsi="Arial Narrow" w:cstheme="minorHAnsi"/>
              </w:rPr>
            </w:pPr>
            <w:r w:rsidRPr="00D44F7C">
              <w:rPr>
                <w:rFonts w:ascii="Arial Narrow" w:eastAsia="Times New Roman" w:hAnsi="Arial Narrow" w:cs="Times New Roman"/>
                <w:sz w:val="24"/>
                <w:szCs w:val="24"/>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 W celu realizacji MPP (Mechanizm Podzielonej Płatności)</w:t>
            </w:r>
            <w:r w:rsidRPr="00D44F7C">
              <w:rPr>
                <w:rFonts w:ascii="Arial Narrow" w:eastAsia="Times New Roman" w:hAnsi="Arial Narrow" w:cs="Times New Roman"/>
                <w:b/>
                <w:bCs/>
                <w:sz w:val="24"/>
                <w:szCs w:val="24"/>
                <w:lang w:eastAsia="pl-PL"/>
              </w:rPr>
              <w:t xml:space="preserve">  </w:t>
            </w:r>
            <w:r w:rsidRPr="00D44F7C">
              <w:rPr>
                <w:rFonts w:ascii="Arial Narrow" w:eastAsia="Times New Roman" w:hAnsi="Arial Narrow" w:cs="Times New Roman"/>
                <w:sz w:val="24"/>
                <w:szCs w:val="24"/>
                <w:lang w:eastAsia="pl-PL"/>
              </w:rPr>
              <w:t xml:space="preserve">wydzielono w księgach rachunkowych dodatkowe konta analityczne " VAT".   </w:t>
            </w:r>
          </w:p>
          <w:p w14:paraId="682798AB"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5218D207"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1D3E44B1"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78DDEE39" w14:textId="77777777" w:rsidR="008219E0" w:rsidRPr="00C21577" w:rsidRDefault="008219E0" w:rsidP="00583F3E">
            <w:pPr>
              <w:autoSpaceDE w:val="0"/>
              <w:autoSpaceDN w:val="0"/>
              <w:adjustRightInd w:val="0"/>
              <w:rPr>
                <w:rFonts w:ascii="Arial Narrow" w:hAnsi="Arial Narrow" w:cstheme="minorHAnsi"/>
                <w:bCs/>
              </w:rPr>
            </w:pPr>
            <w:r w:rsidRPr="00C21577">
              <w:rPr>
                <w:rFonts w:ascii="Arial Narrow" w:hAnsi="Arial Narrow" w:cstheme="minorHAnsi"/>
              </w:rPr>
              <w:t>1. Vulcan</w:t>
            </w:r>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Vulcan Sp.z o.o. ul. Wołowska 6, 51-116 Wrocław. Administratorem platformy systemu Vulcan jest Gmina Miasto Włocławek. </w:t>
            </w:r>
          </w:p>
          <w:p w14:paraId="7508FC30" w14:textId="77777777" w:rsidR="00891A69" w:rsidRPr="00C21577" w:rsidRDefault="00891A69" w:rsidP="00891A69">
            <w:pPr>
              <w:rPr>
                <w:rFonts w:ascii="Arial Narrow" w:hAnsi="Arial Narrow" w:cstheme="minorHAnsi"/>
                <w:b/>
              </w:rPr>
            </w:pPr>
          </w:p>
        </w:tc>
      </w:tr>
      <w:tr w:rsidR="00891A69" w14:paraId="02601584" w14:textId="77777777" w:rsidTr="00BA14E8">
        <w:tc>
          <w:tcPr>
            <w:tcW w:w="421" w:type="dxa"/>
          </w:tcPr>
          <w:p w14:paraId="771539C6"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5050" w:type="dxa"/>
          </w:tcPr>
          <w:p w14:paraId="04566B54" w14:textId="77777777" w:rsidR="00891A69" w:rsidRDefault="004E729C" w:rsidP="00891A69">
            <w:pPr>
              <w:rPr>
                <w:b/>
                <w:sz w:val="24"/>
                <w:szCs w:val="24"/>
              </w:rPr>
            </w:pPr>
            <w:r>
              <w:rPr>
                <w:color w:val="2E2014"/>
                <w:sz w:val="20"/>
                <w:szCs w:val="20"/>
              </w:rPr>
              <w:t>inne informacje</w:t>
            </w:r>
          </w:p>
        </w:tc>
      </w:tr>
      <w:tr w:rsidR="00891A69" w14:paraId="4014062E" w14:textId="77777777" w:rsidTr="00BA14E8">
        <w:trPr>
          <w:trHeight w:val="1359"/>
        </w:trPr>
        <w:tc>
          <w:tcPr>
            <w:tcW w:w="421" w:type="dxa"/>
          </w:tcPr>
          <w:p w14:paraId="3B260B92" w14:textId="77777777" w:rsidR="00891A69" w:rsidRPr="004E729C" w:rsidRDefault="00891A69" w:rsidP="00891A69">
            <w:pPr>
              <w:rPr>
                <w:rFonts w:cstheme="minorHAnsi"/>
                <w:sz w:val="20"/>
                <w:szCs w:val="20"/>
              </w:rPr>
            </w:pPr>
          </w:p>
        </w:tc>
        <w:tc>
          <w:tcPr>
            <w:tcW w:w="15050" w:type="dxa"/>
          </w:tcPr>
          <w:p w14:paraId="30C63CB7" w14:textId="5D01ED2F" w:rsidR="00C21577" w:rsidRDefault="00C21577" w:rsidP="00891A69">
            <w:pPr>
              <w:rPr>
                <w:b/>
                <w:sz w:val="24"/>
                <w:szCs w:val="24"/>
              </w:rPr>
            </w:pPr>
          </w:p>
        </w:tc>
      </w:tr>
      <w:tr w:rsidR="00891A69" w14:paraId="202CE65B" w14:textId="77777777" w:rsidTr="00BA14E8">
        <w:tc>
          <w:tcPr>
            <w:tcW w:w="421" w:type="dxa"/>
          </w:tcPr>
          <w:p w14:paraId="5B3DFA69"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5050" w:type="dxa"/>
          </w:tcPr>
          <w:p w14:paraId="73BC76F7"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1EEFEEBD" w14:textId="77777777" w:rsidTr="00BA14E8">
        <w:tc>
          <w:tcPr>
            <w:tcW w:w="421" w:type="dxa"/>
          </w:tcPr>
          <w:p w14:paraId="758DF803" w14:textId="77777777" w:rsidR="00891A69" w:rsidRPr="004E729C" w:rsidRDefault="004112BB" w:rsidP="00891A69">
            <w:pPr>
              <w:rPr>
                <w:rFonts w:cstheme="minorHAnsi"/>
                <w:sz w:val="20"/>
                <w:szCs w:val="20"/>
              </w:rPr>
            </w:pPr>
            <w:r>
              <w:rPr>
                <w:rFonts w:cstheme="minorHAnsi"/>
                <w:sz w:val="20"/>
                <w:szCs w:val="20"/>
              </w:rPr>
              <w:t>1.</w:t>
            </w:r>
          </w:p>
        </w:tc>
        <w:tc>
          <w:tcPr>
            <w:tcW w:w="15050" w:type="dxa"/>
          </w:tcPr>
          <w:p w14:paraId="62708BD1" w14:textId="77777777" w:rsidR="00891A69" w:rsidRDefault="00891A69" w:rsidP="00891A69">
            <w:pPr>
              <w:rPr>
                <w:b/>
                <w:sz w:val="24"/>
                <w:szCs w:val="24"/>
              </w:rPr>
            </w:pPr>
          </w:p>
          <w:p w14:paraId="12B0AD2A" w14:textId="77777777" w:rsidR="00C21577" w:rsidRDefault="00C21577" w:rsidP="00891A69">
            <w:pPr>
              <w:rPr>
                <w:b/>
                <w:sz w:val="24"/>
                <w:szCs w:val="24"/>
              </w:rPr>
            </w:pPr>
          </w:p>
        </w:tc>
      </w:tr>
      <w:tr w:rsidR="00891A69" w14:paraId="4A525977" w14:textId="77777777" w:rsidTr="00BA14E8">
        <w:tc>
          <w:tcPr>
            <w:tcW w:w="421" w:type="dxa"/>
          </w:tcPr>
          <w:p w14:paraId="75A69143" w14:textId="77777777" w:rsidR="00891A69" w:rsidRPr="004E729C" w:rsidRDefault="004112BB" w:rsidP="00891A69">
            <w:pPr>
              <w:rPr>
                <w:rFonts w:cstheme="minorHAnsi"/>
                <w:sz w:val="20"/>
                <w:szCs w:val="20"/>
              </w:rPr>
            </w:pPr>
            <w:r>
              <w:rPr>
                <w:rFonts w:cstheme="minorHAnsi"/>
                <w:sz w:val="20"/>
                <w:szCs w:val="20"/>
              </w:rPr>
              <w:t>1.1</w:t>
            </w:r>
          </w:p>
        </w:tc>
        <w:tc>
          <w:tcPr>
            <w:tcW w:w="15050" w:type="dxa"/>
          </w:tcPr>
          <w:p w14:paraId="121FB7EB"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65DF8085" w14:textId="256BE390" w:rsidR="006C23EC" w:rsidRPr="006C23EC" w:rsidRDefault="004112BB" w:rsidP="004112BB">
            <w:pPr>
              <w:rPr>
                <w:rFonts w:ascii="Arial Narrow" w:hAnsi="Arial Narrow"/>
                <w:color w:val="2E2014"/>
                <w:sz w:val="20"/>
                <w:szCs w:val="20"/>
              </w:rPr>
            </w:pPr>
            <w:r w:rsidRPr="00504E9D">
              <w:rPr>
                <w:rFonts w:ascii="Arial Narrow" w:hAnsi="Arial Narrow"/>
                <w:color w:val="2E2014"/>
                <w:sz w:val="20"/>
                <w:szCs w:val="20"/>
              </w:rPr>
              <w:t>– podobne przedstawienie stanów i tytułów zmian dotychczasowej amortyzacji lub umorzenia</w:t>
            </w:r>
          </w:p>
        </w:tc>
      </w:tr>
      <w:tr w:rsidR="00891A69" w14:paraId="42460354" w14:textId="77777777" w:rsidTr="00BA14E8">
        <w:trPr>
          <w:trHeight w:val="509"/>
        </w:trPr>
        <w:tc>
          <w:tcPr>
            <w:tcW w:w="421" w:type="dxa"/>
          </w:tcPr>
          <w:p w14:paraId="543EFA54" w14:textId="77777777" w:rsidR="00891A69" w:rsidRPr="004E729C" w:rsidRDefault="00891A69" w:rsidP="00891A69">
            <w:pPr>
              <w:rPr>
                <w:rFonts w:cstheme="minorHAnsi"/>
                <w:sz w:val="20"/>
                <w:szCs w:val="20"/>
              </w:rPr>
            </w:pPr>
          </w:p>
        </w:tc>
        <w:tc>
          <w:tcPr>
            <w:tcW w:w="15050" w:type="dxa"/>
          </w:tcPr>
          <w:p w14:paraId="49F7CB7B" w14:textId="77777777" w:rsidR="00891A69" w:rsidRDefault="00891A69" w:rsidP="00891A69">
            <w:pPr>
              <w:rPr>
                <w:b/>
                <w:sz w:val="24"/>
                <w:szCs w:val="24"/>
              </w:rPr>
            </w:pPr>
          </w:p>
        </w:tc>
      </w:tr>
      <w:tr w:rsidR="006C23EC" w14:paraId="3F82BDD7" w14:textId="77777777" w:rsidTr="00BA14E8">
        <w:trPr>
          <w:cantSplit/>
          <w:trHeight w:val="10198"/>
        </w:trPr>
        <w:tc>
          <w:tcPr>
            <w:tcW w:w="421" w:type="dxa"/>
          </w:tcPr>
          <w:p w14:paraId="000FC843" w14:textId="77777777" w:rsidR="006C23EC" w:rsidRDefault="006C23EC" w:rsidP="004112BB">
            <w:pPr>
              <w:rPr>
                <w:rFonts w:cstheme="minorHAnsi"/>
                <w:sz w:val="20"/>
                <w:szCs w:val="20"/>
              </w:rPr>
            </w:pPr>
          </w:p>
        </w:tc>
        <w:tc>
          <w:tcPr>
            <w:tcW w:w="15050" w:type="dxa"/>
          </w:tcPr>
          <w:p w14:paraId="450BC5C8" w14:textId="6FAF5F72" w:rsidR="00665279" w:rsidRDefault="00665279"/>
          <w:p w14:paraId="35ED97CB" w14:textId="76E5187D" w:rsidR="00665279" w:rsidRDefault="00665279"/>
          <w:p w14:paraId="601437ED" w14:textId="77777777" w:rsidR="00665279" w:rsidRDefault="00665279"/>
          <w:p w14:paraId="2991F860" w14:textId="77777777" w:rsidR="00665279" w:rsidRDefault="00665279"/>
          <w:tbl>
            <w:tblPr>
              <w:tblW w:w="14645" w:type="dxa"/>
              <w:tblCellMar>
                <w:left w:w="70" w:type="dxa"/>
                <w:right w:w="70" w:type="dxa"/>
              </w:tblCellMar>
              <w:tblLook w:val="04A0" w:firstRow="1" w:lastRow="0" w:firstColumn="1" w:lastColumn="0" w:noHBand="0" w:noVBand="1"/>
            </w:tblPr>
            <w:tblGrid>
              <w:gridCol w:w="250"/>
              <w:gridCol w:w="1045"/>
              <w:gridCol w:w="842"/>
              <w:gridCol w:w="459"/>
              <w:gridCol w:w="364"/>
              <w:gridCol w:w="335"/>
              <w:gridCol w:w="870"/>
              <w:gridCol w:w="527"/>
              <w:gridCol w:w="746"/>
              <w:gridCol w:w="584"/>
              <w:gridCol w:w="971"/>
              <w:gridCol w:w="1008"/>
              <w:gridCol w:w="872"/>
              <w:gridCol w:w="391"/>
              <w:gridCol w:w="789"/>
              <w:gridCol w:w="621"/>
              <w:gridCol w:w="848"/>
              <w:gridCol w:w="537"/>
              <w:gridCol w:w="922"/>
              <w:gridCol w:w="838"/>
              <w:gridCol w:w="827"/>
            </w:tblGrid>
            <w:tr w:rsidR="006C23EC" w:rsidRPr="006C23EC" w14:paraId="3E14A998" w14:textId="77777777" w:rsidTr="00E85172">
              <w:trPr>
                <w:trHeight w:val="330"/>
              </w:trPr>
              <w:tc>
                <w:tcPr>
                  <w:tcW w:w="14645" w:type="dxa"/>
                  <w:gridSpan w:val="21"/>
                  <w:tcBorders>
                    <w:top w:val="nil"/>
                    <w:left w:val="nil"/>
                    <w:right w:val="nil"/>
                  </w:tcBorders>
                  <w:noWrap/>
                  <w:vAlign w:val="center"/>
                  <w:hideMark/>
                </w:tcPr>
                <w:p w14:paraId="394339F5" w14:textId="72DEBE7F" w:rsidR="006C23EC" w:rsidRPr="00665279" w:rsidRDefault="006C23EC" w:rsidP="006C23EC">
                  <w:pPr>
                    <w:spacing w:after="0" w:line="240" w:lineRule="auto"/>
                    <w:rPr>
                      <w:rFonts w:ascii="Arial Narrow" w:eastAsia="Times New Roman" w:hAnsi="Arial Narrow" w:cs="Calibri"/>
                      <w:b/>
                      <w:bCs/>
                      <w:color w:val="000000"/>
                      <w:u w:val="single"/>
                      <w:lang w:eastAsia="pl-PL"/>
                    </w:rPr>
                  </w:pPr>
                  <w:r w:rsidRPr="006C23EC">
                    <w:rPr>
                      <w:rFonts w:ascii="Arial Narrow" w:eastAsia="Times New Roman" w:hAnsi="Arial Narrow" w:cs="Calibri"/>
                      <w:b/>
                      <w:bCs/>
                      <w:color w:val="000000"/>
                      <w:u w:val="single"/>
                      <w:lang w:eastAsia="pl-PL"/>
                    </w:rPr>
                    <w:t xml:space="preserve">Główne składniki aktywów trwałych </w:t>
                  </w:r>
                  <w:r w:rsidR="00665279" w:rsidRPr="00665279">
                    <w:rPr>
                      <w:rFonts w:ascii="Arial Narrow" w:eastAsia="Times New Roman" w:hAnsi="Arial Narrow" w:cs="Calibri"/>
                      <w:b/>
                      <w:bCs/>
                      <w:color w:val="000000"/>
                      <w:u w:val="single"/>
                      <w:lang w:eastAsia="pl-PL"/>
                    </w:rPr>
                    <w:t>–</w:t>
                  </w:r>
                  <w:r w:rsidRPr="006C23EC">
                    <w:rPr>
                      <w:rFonts w:ascii="Arial Narrow" w:eastAsia="Times New Roman" w:hAnsi="Arial Narrow" w:cs="Calibri"/>
                      <w:b/>
                      <w:bCs/>
                      <w:color w:val="000000"/>
                      <w:u w:val="single"/>
                      <w:lang w:eastAsia="pl-PL"/>
                    </w:rPr>
                    <w:t xml:space="preserve"> </w:t>
                  </w:r>
                </w:p>
                <w:p w14:paraId="405CAAE3" w14:textId="5A0CD48E" w:rsidR="00665279" w:rsidRPr="006C23EC" w:rsidRDefault="00665279" w:rsidP="006C23EC">
                  <w:pPr>
                    <w:spacing w:after="0" w:line="240" w:lineRule="auto"/>
                    <w:rPr>
                      <w:rFonts w:ascii="Arial Narrow" w:eastAsia="Times New Roman" w:hAnsi="Arial Narrow" w:cs="Calibri"/>
                      <w:b/>
                      <w:bCs/>
                      <w:color w:val="000000"/>
                      <w:sz w:val="16"/>
                      <w:szCs w:val="16"/>
                      <w:u w:val="single"/>
                      <w:lang w:eastAsia="pl-PL"/>
                    </w:rPr>
                  </w:pPr>
                </w:p>
              </w:tc>
            </w:tr>
            <w:tr w:rsidR="00BA14E8" w:rsidRPr="006C23EC" w14:paraId="5EBFBCE7" w14:textId="77777777" w:rsidTr="00544062">
              <w:trPr>
                <w:trHeight w:val="330"/>
              </w:trPr>
              <w:tc>
                <w:tcPr>
                  <w:tcW w:w="14645" w:type="dxa"/>
                  <w:gridSpan w:val="21"/>
                  <w:tcBorders>
                    <w:top w:val="nil"/>
                    <w:left w:val="nil"/>
                    <w:bottom w:val="nil"/>
                    <w:right w:val="nil"/>
                  </w:tcBorders>
                  <w:noWrap/>
                  <w:vAlign w:val="center"/>
                </w:tcPr>
                <w:p w14:paraId="0A5E4D14" w14:textId="77777777" w:rsidR="00BA14E8" w:rsidRPr="006C23EC" w:rsidRDefault="00BA14E8" w:rsidP="006C23EC">
                  <w:pPr>
                    <w:spacing w:after="0" w:line="240" w:lineRule="auto"/>
                    <w:rPr>
                      <w:rFonts w:ascii="Arial Narrow" w:eastAsia="Times New Roman" w:hAnsi="Arial Narrow" w:cs="Calibri"/>
                      <w:b/>
                      <w:bCs/>
                      <w:color w:val="000000"/>
                      <w:u w:val="single"/>
                      <w:lang w:eastAsia="pl-PL"/>
                    </w:rPr>
                  </w:pPr>
                </w:p>
              </w:tc>
            </w:tr>
            <w:tr w:rsidR="007D00E5" w:rsidRPr="006C23EC" w14:paraId="76341EB3" w14:textId="77777777" w:rsidTr="00E85172">
              <w:trPr>
                <w:trHeight w:val="97"/>
              </w:trPr>
              <w:tc>
                <w:tcPr>
                  <w:tcW w:w="249" w:type="dxa"/>
                  <w:tcBorders>
                    <w:top w:val="nil"/>
                    <w:left w:val="nil"/>
                    <w:right w:val="nil"/>
                  </w:tcBorders>
                  <w:noWrap/>
                  <w:vAlign w:val="center"/>
                </w:tcPr>
                <w:p w14:paraId="17AD9878"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1045" w:type="dxa"/>
                  <w:tcBorders>
                    <w:top w:val="nil"/>
                    <w:left w:val="nil"/>
                    <w:right w:val="nil"/>
                  </w:tcBorders>
                  <w:noWrap/>
                  <w:vAlign w:val="center"/>
                </w:tcPr>
                <w:p w14:paraId="79BEE26C"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tcPr>
                <w:p w14:paraId="2B01373B"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459" w:type="dxa"/>
                  <w:tcBorders>
                    <w:top w:val="nil"/>
                    <w:left w:val="nil"/>
                    <w:right w:val="nil"/>
                  </w:tcBorders>
                  <w:noWrap/>
                  <w:vAlign w:val="center"/>
                </w:tcPr>
                <w:p w14:paraId="68B09EC9"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tcPr>
                <w:p w14:paraId="5AC86261"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tcPr>
                <w:p w14:paraId="54730984"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tcPr>
                <w:p w14:paraId="5C40E478"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tcPr>
                <w:p w14:paraId="4089AF6D"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558" w:type="dxa"/>
                  <w:tcBorders>
                    <w:top w:val="nil"/>
                    <w:left w:val="nil"/>
                    <w:right w:val="nil"/>
                  </w:tcBorders>
                  <w:noWrap/>
                  <w:vAlign w:val="center"/>
                </w:tcPr>
                <w:p w14:paraId="7D1BCEA6"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584" w:type="dxa"/>
                  <w:tcBorders>
                    <w:top w:val="nil"/>
                    <w:left w:val="nil"/>
                    <w:right w:val="nil"/>
                  </w:tcBorders>
                  <w:noWrap/>
                  <w:vAlign w:val="center"/>
                </w:tcPr>
                <w:p w14:paraId="2ED39F48"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971" w:type="dxa"/>
                  <w:tcBorders>
                    <w:top w:val="nil"/>
                    <w:left w:val="nil"/>
                    <w:right w:val="nil"/>
                  </w:tcBorders>
                  <w:noWrap/>
                  <w:vAlign w:val="center"/>
                </w:tcPr>
                <w:p w14:paraId="07925311"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1008" w:type="dxa"/>
                  <w:tcBorders>
                    <w:top w:val="nil"/>
                    <w:left w:val="nil"/>
                    <w:right w:val="nil"/>
                  </w:tcBorders>
                  <w:noWrap/>
                  <w:vAlign w:val="center"/>
                </w:tcPr>
                <w:p w14:paraId="138978B6"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872" w:type="dxa"/>
                  <w:tcBorders>
                    <w:top w:val="nil"/>
                    <w:left w:val="nil"/>
                    <w:right w:val="nil"/>
                  </w:tcBorders>
                  <w:noWrap/>
                  <w:vAlign w:val="center"/>
                </w:tcPr>
                <w:p w14:paraId="1BE8A72D"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391" w:type="dxa"/>
                  <w:tcBorders>
                    <w:top w:val="nil"/>
                    <w:left w:val="nil"/>
                    <w:right w:val="nil"/>
                  </w:tcBorders>
                  <w:noWrap/>
                  <w:vAlign w:val="center"/>
                </w:tcPr>
                <w:p w14:paraId="476220A5"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789" w:type="dxa"/>
                  <w:tcBorders>
                    <w:top w:val="nil"/>
                    <w:left w:val="nil"/>
                    <w:right w:val="nil"/>
                  </w:tcBorders>
                  <w:noWrap/>
                  <w:vAlign w:val="center"/>
                </w:tcPr>
                <w:p w14:paraId="1A8B35BB"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621" w:type="dxa"/>
                  <w:tcBorders>
                    <w:top w:val="nil"/>
                    <w:left w:val="nil"/>
                    <w:right w:val="nil"/>
                  </w:tcBorders>
                  <w:noWrap/>
                  <w:vAlign w:val="center"/>
                </w:tcPr>
                <w:p w14:paraId="69990DF7"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848" w:type="dxa"/>
                  <w:tcBorders>
                    <w:top w:val="nil"/>
                    <w:left w:val="nil"/>
                    <w:right w:val="nil"/>
                  </w:tcBorders>
                  <w:noWrap/>
                  <w:vAlign w:val="center"/>
                </w:tcPr>
                <w:p w14:paraId="2FB99E10"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537" w:type="dxa"/>
                  <w:tcBorders>
                    <w:top w:val="nil"/>
                    <w:left w:val="nil"/>
                    <w:right w:val="nil"/>
                  </w:tcBorders>
                  <w:noWrap/>
                  <w:vAlign w:val="center"/>
                </w:tcPr>
                <w:p w14:paraId="7EF1A3C6"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922" w:type="dxa"/>
                  <w:tcBorders>
                    <w:top w:val="nil"/>
                    <w:left w:val="nil"/>
                    <w:right w:val="nil"/>
                  </w:tcBorders>
                  <w:noWrap/>
                  <w:vAlign w:val="center"/>
                </w:tcPr>
                <w:p w14:paraId="1724EC93"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tcPr>
                <w:p w14:paraId="7E9490CD"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827" w:type="dxa"/>
                  <w:tcBorders>
                    <w:top w:val="nil"/>
                    <w:left w:val="nil"/>
                    <w:right w:val="nil"/>
                  </w:tcBorders>
                  <w:noWrap/>
                  <w:vAlign w:val="center"/>
                </w:tcPr>
                <w:p w14:paraId="2483FAAA"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r>
            <w:tr w:rsidR="007D00E5" w:rsidRPr="006C23EC" w14:paraId="4A918108" w14:textId="77777777" w:rsidTr="00E85172">
              <w:trPr>
                <w:trHeight w:val="330"/>
              </w:trPr>
              <w:tc>
                <w:tcPr>
                  <w:tcW w:w="249" w:type="dxa"/>
                  <w:tcBorders>
                    <w:top w:val="nil"/>
                    <w:left w:val="nil"/>
                    <w:right w:val="nil"/>
                  </w:tcBorders>
                  <w:noWrap/>
                  <w:vAlign w:val="center"/>
                </w:tcPr>
                <w:p w14:paraId="39BB11F9" w14:textId="7BC00DB1"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p>
              </w:tc>
              <w:tc>
                <w:tcPr>
                  <w:tcW w:w="1045" w:type="dxa"/>
                  <w:tcBorders>
                    <w:top w:val="nil"/>
                    <w:left w:val="nil"/>
                    <w:right w:val="nil"/>
                  </w:tcBorders>
                  <w:noWrap/>
                  <w:vAlign w:val="center"/>
                </w:tcPr>
                <w:p w14:paraId="58AD4A8F" w14:textId="32081951"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right w:val="nil"/>
                  </w:tcBorders>
                  <w:noWrap/>
                  <w:vAlign w:val="center"/>
                  <w:hideMark/>
                </w:tcPr>
                <w:p w14:paraId="0B122645"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459" w:type="dxa"/>
                  <w:tcBorders>
                    <w:top w:val="nil"/>
                    <w:left w:val="nil"/>
                    <w:right w:val="nil"/>
                  </w:tcBorders>
                  <w:noWrap/>
                  <w:vAlign w:val="center"/>
                  <w:hideMark/>
                </w:tcPr>
                <w:p w14:paraId="5252E222"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0" w:type="auto"/>
                  <w:tcBorders>
                    <w:top w:val="nil"/>
                    <w:left w:val="nil"/>
                    <w:right w:val="nil"/>
                  </w:tcBorders>
                  <w:noWrap/>
                  <w:vAlign w:val="center"/>
                  <w:hideMark/>
                </w:tcPr>
                <w:p w14:paraId="50BA0D9D"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0" w:type="auto"/>
                  <w:tcBorders>
                    <w:top w:val="nil"/>
                    <w:left w:val="nil"/>
                    <w:right w:val="nil"/>
                  </w:tcBorders>
                  <w:noWrap/>
                  <w:vAlign w:val="center"/>
                  <w:hideMark/>
                </w:tcPr>
                <w:p w14:paraId="0CA92305"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0" w:type="auto"/>
                  <w:tcBorders>
                    <w:top w:val="nil"/>
                    <w:left w:val="nil"/>
                    <w:right w:val="nil"/>
                  </w:tcBorders>
                  <w:noWrap/>
                  <w:vAlign w:val="center"/>
                  <w:hideMark/>
                </w:tcPr>
                <w:p w14:paraId="4FB12845"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0" w:type="auto"/>
                  <w:tcBorders>
                    <w:top w:val="nil"/>
                    <w:left w:val="nil"/>
                    <w:right w:val="nil"/>
                  </w:tcBorders>
                  <w:noWrap/>
                  <w:vAlign w:val="center"/>
                  <w:hideMark/>
                </w:tcPr>
                <w:p w14:paraId="5A62B469"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558" w:type="dxa"/>
                  <w:tcBorders>
                    <w:top w:val="nil"/>
                    <w:left w:val="nil"/>
                    <w:right w:val="nil"/>
                  </w:tcBorders>
                  <w:noWrap/>
                  <w:vAlign w:val="center"/>
                  <w:hideMark/>
                </w:tcPr>
                <w:p w14:paraId="17AFF5B7"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584" w:type="dxa"/>
                  <w:tcBorders>
                    <w:top w:val="nil"/>
                    <w:left w:val="nil"/>
                    <w:right w:val="nil"/>
                  </w:tcBorders>
                  <w:noWrap/>
                  <w:vAlign w:val="center"/>
                  <w:hideMark/>
                </w:tcPr>
                <w:p w14:paraId="54723197"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971" w:type="dxa"/>
                  <w:tcBorders>
                    <w:top w:val="nil"/>
                    <w:left w:val="nil"/>
                    <w:right w:val="nil"/>
                  </w:tcBorders>
                  <w:noWrap/>
                  <w:vAlign w:val="center"/>
                  <w:hideMark/>
                </w:tcPr>
                <w:p w14:paraId="3BE54BF7"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1008" w:type="dxa"/>
                  <w:tcBorders>
                    <w:top w:val="nil"/>
                    <w:left w:val="nil"/>
                    <w:right w:val="nil"/>
                  </w:tcBorders>
                  <w:noWrap/>
                  <w:vAlign w:val="center"/>
                  <w:hideMark/>
                </w:tcPr>
                <w:p w14:paraId="66A021F6"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872" w:type="dxa"/>
                  <w:tcBorders>
                    <w:top w:val="nil"/>
                    <w:left w:val="nil"/>
                    <w:right w:val="nil"/>
                  </w:tcBorders>
                  <w:noWrap/>
                  <w:vAlign w:val="center"/>
                  <w:hideMark/>
                </w:tcPr>
                <w:p w14:paraId="2843D567"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391" w:type="dxa"/>
                  <w:tcBorders>
                    <w:top w:val="nil"/>
                    <w:left w:val="nil"/>
                    <w:right w:val="nil"/>
                  </w:tcBorders>
                  <w:noWrap/>
                  <w:vAlign w:val="center"/>
                  <w:hideMark/>
                </w:tcPr>
                <w:p w14:paraId="4D5E8DA2"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789" w:type="dxa"/>
                  <w:tcBorders>
                    <w:top w:val="nil"/>
                    <w:left w:val="nil"/>
                    <w:right w:val="nil"/>
                  </w:tcBorders>
                  <w:noWrap/>
                  <w:vAlign w:val="center"/>
                  <w:hideMark/>
                </w:tcPr>
                <w:p w14:paraId="3F6C690D"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621" w:type="dxa"/>
                  <w:tcBorders>
                    <w:top w:val="nil"/>
                    <w:left w:val="nil"/>
                    <w:right w:val="nil"/>
                  </w:tcBorders>
                  <w:noWrap/>
                  <w:vAlign w:val="center"/>
                  <w:hideMark/>
                </w:tcPr>
                <w:p w14:paraId="3D06F276"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848" w:type="dxa"/>
                  <w:tcBorders>
                    <w:top w:val="nil"/>
                    <w:left w:val="nil"/>
                    <w:right w:val="nil"/>
                  </w:tcBorders>
                  <w:noWrap/>
                  <w:vAlign w:val="center"/>
                  <w:hideMark/>
                </w:tcPr>
                <w:p w14:paraId="4E90716F"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537" w:type="dxa"/>
                  <w:tcBorders>
                    <w:top w:val="nil"/>
                    <w:left w:val="nil"/>
                    <w:right w:val="nil"/>
                  </w:tcBorders>
                  <w:noWrap/>
                  <w:vAlign w:val="center"/>
                  <w:hideMark/>
                </w:tcPr>
                <w:p w14:paraId="165C7DA1"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922" w:type="dxa"/>
                  <w:tcBorders>
                    <w:top w:val="nil"/>
                    <w:left w:val="nil"/>
                    <w:right w:val="nil"/>
                  </w:tcBorders>
                  <w:noWrap/>
                  <w:vAlign w:val="center"/>
                  <w:hideMark/>
                </w:tcPr>
                <w:p w14:paraId="754C35D8"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0" w:type="auto"/>
                  <w:tcBorders>
                    <w:top w:val="nil"/>
                    <w:left w:val="nil"/>
                    <w:right w:val="nil"/>
                  </w:tcBorders>
                  <w:noWrap/>
                  <w:vAlign w:val="center"/>
                  <w:hideMark/>
                </w:tcPr>
                <w:p w14:paraId="07BA8DB1"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c>
                <w:tcPr>
                  <w:tcW w:w="827" w:type="dxa"/>
                  <w:tcBorders>
                    <w:top w:val="nil"/>
                    <w:left w:val="nil"/>
                    <w:right w:val="nil"/>
                  </w:tcBorders>
                  <w:noWrap/>
                  <w:vAlign w:val="center"/>
                  <w:hideMark/>
                </w:tcPr>
                <w:p w14:paraId="1ADA7A46" w14:textId="77777777" w:rsidR="006C23EC" w:rsidRPr="006C23EC" w:rsidRDefault="006C23EC" w:rsidP="006C23EC">
                  <w:pPr>
                    <w:spacing w:after="0" w:line="240" w:lineRule="auto"/>
                    <w:rPr>
                      <w:rFonts w:ascii="Arial Narrow" w:eastAsia="Times New Roman" w:hAnsi="Arial Narrow" w:cs="Calibri"/>
                      <w:b/>
                      <w:bCs/>
                      <w:color w:val="000000"/>
                      <w:sz w:val="16"/>
                      <w:szCs w:val="16"/>
                      <w:lang w:eastAsia="pl-PL"/>
                    </w:rPr>
                  </w:pPr>
                  <w:r w:rsidRPr="006C23EC">
                    <w:rPr>
                      <w:rFonts w:ascii="Arial Narrow" w:eastAsia="Times New Roman" w:hAnsi="Arial Narrow" w:cs="Calibri"/>
                      <w:b/>
                      <w:bCs/>
                      <w:color w:val="000000"/>
                      <w:sz w:val="16"/>
                      <w:szCs w:val="16"/>
                      <w:lang w:eastAsia="pl-PL"/>
                    </w:rPr>
                    <w:t> </w:t>
                  </w:r>
                </w:p>
              </w:tc>
            </w:tr>
            <w:tr w:rsidR="007D00E5" w:rsidRPr="006C23EC" w14:paraId="352E8CD2" w14:textId="77777777" w:rsidTr="00E85172">
              <w:trPr>
                <w:trHeight w:val="330"/>
              </w:trPr>
              <w:tc>
                <w:tcPr>
                  <w:tcW w:w="249" w:type="dxa"/>
                  <w:tcBorders>
                    <w:top w:val="nil"/>
                    <w:left w:val="nil"/>
                    <w:bottom w:val="single" w:sz="4" w:space="0" w:color="auto"/>
                    <w:right w:val="nil"/>
                  </w:tcBorders>
                  <w:noWrap/>
                  <w:vAlign w:val="center"/>
                </w:tcPr>
                <w:p w14:paraId="58FFC4A5"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1045" w:type="dxa"/>
                  <w:tcBorders>
                    <w:top w:val="nil"/>
                    <w:left w:val="nil"/>
                    <w:bottom w:val="single" w:sz="4" w:space="0" w:color="auto"/>
                    <w:right w:val="nil"/>
                  </w:tcBorders>
                  <w:noWrap/>
                  <w:vAlign w:val="center"/>
                </w:tcPr>
                <w:p w14:paraId="6727E3F4"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left w:val="nil"/>
                    <w:bottom w:val="single" w:sz="4" w:space="0" w:color="auto"/>
                    <w:right w:val="nil"/>
                  </w:tcBorders>
                  <w:noWrap/>
                  <w:vAlign w:val="center"/>
                </w:tcPr>
                <w:p w14:paraId="0060E4B5"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459" w:type="dxa"/>
                  <w:tcBorders>
                    <w:top w:val="nil"/>
                    <w:left w:val="nil"/>
                    <w:bottom w:val="single" w:sz="4" w:space="0" w:color="auto"/>
                    <w:right w:val="nil"/>
                  </w:tcBorders>
                  <w:noWrap/>
                  <w:vAlign w:val="center"/>
                </w:tcPr>
                <w:p w14:paraId="203297CC"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bottom w:val="single" w:sz="4" w:space="0" w:color="auto"/>
                    <w:right w:val="nil"/>
                  </w:tcBorders>
                  <w:noWrap/>
                  <w:vAlign w:val="center"/>
                </w:tcPr>
                <w:p w14:paraId="4FF62EBF"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bottom w:val="single" w:sz="4" w:space="0" w:color="auto"/>
                    <w:right w:val="nil"/>
                  </w:tcBorders>
                  <w:noWrap/>
                  <w:vAlign w:val="center"/>
                </w:tcPr>
                <w:p w14:paraId="326C421C"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bottom w:val="single" w:sz="4" w:space="0" w:color="auto"/>
                    <w:right w:val="nil"/>
                  </w:tcBorders>
                  <w:noWrap/>
                  <w:vAlign w:val="center"/>
                </w:tcPr>
                <w:p w14:paraId="7E30F526"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bottom w:val="single" w:sz="4" w:space="0" w:color="auto"/>
                    <w:right w:val="nil"/>
                  </w:tcBorders>
                  <w:noWrap/>
                  <w:vAlign w:val="center"/>
                </w:tcPr>
                <w:p w14:paraId="3739AFDC"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558" w:type="dxa"/>
                  <w:tcBorders>
                    <w:top w:val="nil"/>
                    <w:left w:val="nil"/>
                    <w:bottom w:val="single" w:sz="4" w:space="0" w:color="auto"/>
                    <w:right w:val="nil"/>
                  </w:tcBorders>
                  <w:noWrap/>
                  <w:vAlign w:val="center"/>
                </w:tcPr>
                <w:p w14:paraId="3B1C6AE8"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584" w:type="dxa"/>
                  <w:tcBorders>
                    <w:top w:val="nil"/>
                    <w:left w:val="nil"/>
                    <w:bottom w:val="single" w:sz="4" w:space="0" w:color="auto"/>
                    <w:right w:val="nil"/>
                  </w:tcBorders>
                  <w:noWrap/>
                  <w:vAlign w:val="center"/>
                </w:tcPr>
                <w:p w14:paraId="4C3E13E8"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971" w:type="dxa"/>
                  <w:tcBorders>
                    <w:top w:val="nil"/>
                    <w:left w:val="nil"/>
                    <w:bottom w:val="single" w:sz="4" w:space="0" w:color="auto"/>
                    <w:right w:val="nil"/>
                  </w:tcBorders>
                  <w:noWrap/>
                  <w:vAlign w:val="center"/>
                </w:tcPr>
                <w:p w14:paraId="048E8C05"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1008" w:type="dxa"/>
                  <w:tcBorders>
                    <w:top w:val="nil"/>
                    <w:left w:val="nil"/>
                    <w:bottom w:val="single" w:sz="4" w:space="0" w:color="auto"/>
                    <w:right w:val="nil"/>
                  </w:tcBorders>
                  <w:noWrap/>
                  <w:vAlign w:val="center"/>
                </w:tcPr>
                <w:p w14:paraId="6B9E3C09"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872" w:type="dxa"/>
                  <w:tcBorders>
                    <w:top w:val="nil"/>
                    <w:left w:val="nil"/>
                    <w:bottom w:val="single" w:sz="4" w:space="0" w:color="auto"/>
                    <w:right w:val="nil"/>
                  </w:tcBorders>
                  <w:noWrap/>
                  <w:vAlign w:val="center"/>
                </w:tcPr>
                <w:p w14:paraId="30720328"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391" w:type="dxa"/>
                  <w:tcBorders>
                    <w:top w:val="nil"/>
                    <w:left w:val="nil"/>
                    <w:bottom w:val="single" w:sz="4" w:space="0" w:color="auto"/>
                    <w:right w:val="nil"/>
                  </w:tcBorders>
                  <w:noWrap/>
                  <w:vAlign w:val="center"/>
                </w:tcPr>
                <w:p w14:paraId="20EFDFF0"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789" w:type="dxa"/>
                  <w:tcBorders>
                    <w:top w:val="nil"/>
                    <w:left w:val="nil"/>
                    <w:bottom w:val="single" w:sz="4" w:space="0" w:color="auto"/>
                    <w:right w:val="nil"/>
                  </w:tcBorders>
                  <w:noWrap/>
                  <w:vAlign w:val="center"/>
                </w:tcPr>
                <w:p w14:paraId="2D6EBBD3"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621" w:type="dxa"/>
                  <w:tcBorders>
                    <w:top w:val="nil"/>
                    <w:left w:val="nil"/>
                    <w:bottom w:val="single" w:sz="4" w:space="0" w:color="auto"/>
                    <w:right w:val="nil"/>
                  </w:tcBorders>
                  <w:noWrap/>
                  <w:vAlign w:val="center"/>
                </w:tcPr>
                <w:p w14:paraId="0C286BFE"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848" w:type="dxa"/>
                  <w:tcBorders>
                    <w:top w:val="nil"/>
                    <w:left w:val="nil"/>
                    <w:bottom w:val="single" w:sz="4" w:space="0" w:color="auto"/>
                    <w:right w:val="nil"/>
                  </w:tcBorders>
                  <w:noWrap/>
                  <w:vAlign w:val="center"/>
                </w:tcPr>
                <w:p w14:paraId="05C396B1"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537" w:type="dxa"/>
                  <w:tcBorders>
                    <w:top w:val="nil"/>
                    <w:left w:val="nil"/>
                    <w:bottom w:val="single" w:sz="4" w:space="0" w:color="auto"/>
                    <w:right w:val="nil"/>
                  </w:tcBorders>
                  <w:noWrap/>
                  <w:vAlign w:val="center"/>
                </w:tcPr>
                <w:p w14:paraId="3B78A63E"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922" w:type="dxa"/>
                  <w:tcBorders>
                    <w:top w:val="nil"/>
                    <w:left w:val="nil"/>
                    <w:bottom w:val="single" w:sz="4" w:space="0" w:color="auto"/>
                    <w:right w:val="nil"/>
                  </w:tcBorders>
                  <w:noWrap/>
                  <w:vAlign w:val="center"/>
                </w:tcPr>
                <w:p w14:paraId="1E8E7D3B"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0" w:type="auto"/>
                  <w:tcBorders>
                    <w:top w:val="nil"/>
                    <w:left w:val="nil"/>
                    <w:bottom w:val="single" w:sz="4" w:space="0" w:color="auto"/>
                    <w:right w:val="nil"/>
                  </w:tcBorders>
                  <w:noWrap/>
                  <w:vAlign w:val="center"/>
                </w:tcPr>
                <w:p w14:paraId="5B66F8B4"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c>
                <w:tcPr>
                  <w:tcW w:w="827" w:type="dxa"/>
                  <w:tcBorders>
                    <w:top w:val="nil"/>
                    <w:left w:val="nil"/>
                    <w:bottom w:val="single" w:sz="4" w:space="0" w:color="auto"/>
                    <w:right w:val="nil"/>
                  </w:tcBorders>
                  <w:noWrap/>
                  <w:vAlign w:val="center"/>
                </w:tcPr>
                <w:p w14:paraId="185FFB0B" w14:textId="77777777" w:rsidR="007D00E5" w:rsidRPr="006C23EC" w:rsidRDefault="007D00E5" w:rsidP="006C23EC">
                  <w:pPr>
                    <w:spacing w:after="0" w:line="240" w:lineRule="auto"/>
                    <w:rPr>
                      <w:rFonts w:ascii="Arial Narrow" w:eastAsia="Times New Roman" w:hAnsi="Arial Narrow" w:cs="Calibri"/>
                      <w:b/>
                      <w:bCs/>
                      <w:color w:val="000000"/>
                      <w:sz w:val="16"/>
                      <w:szCs w:val="16"/>
                      <w:lang w:eastAsia="pl-PL"/>
                    </w:rPr>
                  </w:pPr>
                </w:p>
              </w:tc>
            </w:tr>
            <w:tr w:rsidR="007D00E5" w:rsidRPr="006C23EC" w14:paraId="69BE48C3" w14:textId="77777777" w:rsidTr="00E85172">
              <w:trPr>
                <w:trHeight w:val="510"/>
              </w:trPr>
              <w:tc>
                <w:tcPr>
                  <w:tcW w:w="249" w:type="dxa"/>
                  <w:vMerge w:val="restart"/>
                  <w:tcBorders>
                    <w:top w:val="single" w:sz="4" w:space="0" w:color="auto"/>
                    <w:left w:val="single" w:sz="4" w:space="0" w:color="auto"/>
                    <w:bottom w:val="single" w:sz="4" w:space="0" w:color="auto"/>
                    <w:right w:val="single" w:sz="4" w:space="0" w:color="auto"/>
                  </w:tcBorders>
                  <w:noWrap/>
                  <w:vAlign w:val="center"/>
                  <w:hideMark/>
                </w:tcPr>
                <w:p w14:paraId="4B0FF330" w14:textId="75634D76" w:rsidR="006C23EC" w:rsidRPr="003C2D23" w:rsidRDefault="006C23EC" w:rsidP="006C23EC">
                  <w:pPr>
                    <w:spacing w:after="0" w:line="240" w:lineRule="auto"/>
                    <w:jc w:val="center"/>
                    <w:rPr>
                      <w:rFonts w:ascii="Arial Narrow" w:eastAsia="Times New Roman" w:hAnsi="Arial Narrow" w:cs="Calibri"/>
                      <w:color w:val="000000"/>
                      <w:sz w:val="12"/>
                      <w:szCs w:val="12"/>
                      <w:lang w:eastAsia="pl-PL"/>
                    </w:rPr>
                  </w:pPr>
                  <w:r w:rsidRPr="003C2D23">
                    <w:rPr>
                      <w:rFonts w:ascii="Arial Narrow" w:eastAsia="Times New Roman" w:hAnsi="Arial Narrow" w:cs="Calibri"/>
                      <w:color w:val="000000"/>
                      <w:sz w:val="12"/>
                      <w:szCs w:val="12"/>
                      <w:lang w:eastAsia="pl-PL"/>
                    </w:rPr>
                    <w:t>Lp</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DF145C4"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Nazwa grupy rodzajowej składnika aktywów trwałych</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0E350F" w14:textId="0C0E24F0"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 xml:space="preserve">Wartość </w:t>
                  </w:r>
                  <w:r w:rsidR="00BC355F" w:rsidRPr="006C23EC">
                    <w:rPr>
                      <w:rFonts w:ascii="Arial Narrow" w:eastAsia="Times New Roman" w:hAnsi="Arial Narrow" w:cs="Calibri"/>
                      <w:color w:val="000000"/>
                      <w:sz w:val="16"/>
                      <w:szCs w:val="16"/>
                      <w:lang w:eastAsia="pl-PL"/>
                    </w:rPr>
                    <w:t>początkowa</w:t>
                  </w:r>
                  <w:r w:rsidRPr="006C23EC">
                    <w:rPr>
                      <w:rFonts w:ascii="Arial Narrow" w:eastAsia="Times New Roman" w:hAnsi="Arial Narrow" w:cs="Calibri"/>
                      <w:color w:val="000000"/>
                      <w:sz w:val="16"/>
                      <w:szCs w:val="16"/>
                      <w:lang w:eastAsia="pl-PL"/>
                    </w:rPr>
                    <w:t xml:space="preserve"> - stan na </w:t>
                  </w:r>
                  <w:r w:rsidR="00BC355F" w:rsidRPr="006C23EC">
                    <w:rPr>
                      <w:rFonts w:ascii="Arial Narrow" w:eastAsia="Times New Roman" w:hAnsi="Arial Narrow" w:cs="Calibri"/>
                      <w:color w:val="000000"/>
                      <w:sz w:val="16"/>
                      <w:szCs w:val="16"/>
                      <w:lang w:eastAsia="pl-PL"/>
                    </w:rPr>
                    <w:t>początek</w:t>
                  </w:r>
                  <w:r w:rsidRPr="006C23EC">
                    <w:rPr>
                      <w:rFonts w:ascii="Arial Narrow" w:eastAsia="Times New Roman" w:hAnsi="Arial Narrow" w:cs="Calibri"/>
                      <w:color w:val="000000"/>
                      <w:sz w:val="16"/>
                      <w:szCs w:val="16"/>
                      <w:lang w:eastAsia="pl-PL"/>
                    </w:rPr>
                    <w:t xml:space="preserve"> roku obrotowego</w:t>
                  </w:r>
                </w:p>
              </w:tc>
              <w:tc>
                <w:tcPr>
                  <w:tcW w:w="1187" w:type="dxa"/>
                  <w:gridSpan w:val="3"/>
                  <w:tcBorders>
                    <w:top w:val="single" w:sz="4" w:space="0" w:color="auto"/>
                    <w:left w:val="nil"/>
                    <w:bottom w:val="single" w:sz="4" w:space="0" w:color="auto"/>
                    <w:right w:val="single" w:sz="4" w:space="0" w:color="auto"/>
                  </w:tcBorders>
                  <w:vAlign w:val="center"/>
                  <w:hideMark/>
                </w:tcPr>
                <w:p w14:paraId="78167DE0" w14:textId="7B4DB3F1"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 xml:space="preserve">Zwiększenie wartości </w:t>
                  </w:r>
                  <w:r w:rsidR="00BC355F" w:rsidRPr="006C23EC">
                    <w:rPr>
                      <w:rFonts w:ascii="Arial Narrow" w:eastAsia="Times New Roman" w:hAnsi="Arial Narrow" w:cs="Calibri"/>
                      <w:color w:val="000000"/>
                      <w:sz w:val="16"/>
                      <w:szCs w:val="16"/>
                      <w:lang w:eastAsia="pl-PL"/>
                    </w:rPr>
                    <w:t>początkowej</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E7FD47"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Ogółem zwiększenie wartości początkowej (4+5+6)</w:t>
                  </w:r>
                </w:p>
              </w:tc>
              <w:tc>
                <w:tcPr>
                  <w:tcW w:w="0" w:type="auto"/>
                  <w:gridSpan w:val="3"/>
                  <w:tcBorders>
                    <w:top w:val="single" w:sz="4" w:space="0" w:color="auto"/>
                    <w:left w:val="nil"/>
                    <w:bottom w:val="single" w:sz="4" w:space="0" w:color="auto"/>
                    <w:right w:val="single" w:sz="4" w:space="0" w:color="auto"/>
                  </w:tcBorders>
                  <w:vAlign w:val="center"/>
                  <w:hideMark/>
                </w:tcPr>
                <w:p w14:paraId="0BEC4CDC"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Zmniejszenie wartości początkowej</w:t>
                  </w:r>
                </w:p>
              </w:tc>
              <w:tc>
                <w:tcPr>
                  <w:tcW w:w="971" w:type="dxa"/>
                  <w:vMerge w:val="restart"/>
                  <w:tcBorders>
                    <w:top w:val="single" w:sz="4" w:space="0" w:color="auto"/>
                    <w:left w:val="single" w:sz="4" w:space="0" w:color="auto"/>
                    <w:bottom w:val="single" w:sz="4" w:space="0" w:color="auto"/>
                    <w:right w:val="single" w:sz="4" w:space="0" w:color="auto"/>
                  </w:tcBorders>
                  <w:vAlign w:val="center"/>
                  <w:hideMark/>
                </w:tcPr>
                <w:p w14:paraId="034D5304" w14:textId="6CC40D90"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 xml:space="preserve">Ogółem zmniejszenie wartości </w:t>
                  </w:r>
                  <w:r w:rsidR="00BC355F" w:rsidRPr="006C23EC">
                    <w:rPr>
                      <w:rFonts w:ascii="Arial Narrow" w:eastAsia="Times New Roman" w:hAnsi="Arial Narrow" w:cs="Calibri"/>
                      <w:color w:val="000000"/>
                      <w:sz w:val="16"/>
                      <w:szCs w:val="16"/>
                      <w:lang w:eastAsia="pl-PL"/>
                    </w:rPr>
                    <w:t>początkowej</w:t>
                  </w:r>
                  <w:r w:rsidRPr="006C23EC">
                    <w:rPr>
                      <w:rFonts w:ascii="Arial Narrow" w:eastAsia="Times New Roman" w:hAnsi="Arial Narrow" w:cs="Calibri"/>
                      <w:color w:val="000000"/>
                      <w:sz w:val="16"/>
                      <w:szCs w:val="16"/>
                      <w:lang w:eastAsia="pl-PL"/>
                    </w:rPr>
                    <w:t xml:space="preserve">                                                                                                                              (8+9+10)</w:t>
                  </w:r>
                </w:p>
              </w:tc>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487671AE" w14:textId="6AE5841A"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 xml:space="preserve">Wartość </w:t>
                  </w:r>
                  <w:r w:rsidR="00BC355F" w:rsidRPr="006C23EC">
                    <w:rPr>
                      <w:rFonts w:ascii="Arial Narrow" w:eastAsia="Times New Roman" w:hAnsi="Arial Narrow" w:cs="Calibri"/>
                      <w:color w:val="000000"/>
                      <w:sz w:val="16"/>
                      <w:szCs w:val="16"/>
                      <w:lang w:eastAsia="pl-PL"/>
                    </w:rPr>
                    <w:t>początkowa</w:t>
                  </w:r>
                  <w:r w:rsidRPr="006C23EC">
                    <w:rPr>
                      <w:rFonts w:ascii="Arial Narrow" w:eastAsia="Times New Roman" w:hAnsi="Arial Narrow" w:cs="Calibri"/>
                      <w:color w:val="000000"/>
                      <w:sz w:val="16"/>
                      <w:szCs w:val="16"/>
                      <w:lang w:eastAsia="pl-PL"/>
                    </w:rPr>
                    <w:t xml:space="preserve"> - stan na koniec roku obrotowego                                                                                                                                           (3+7-11)</w:t>
                  </w:r>
                </w:p>
              </w:tc>
              <w:tc>
                <w:tcPr>
                  <w:tcW w:w="87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F40705"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Umorzenie - stan na początek roku obrotowego</w:t>
                  </w:r>
                </w:p>
              </w:tc>
              <w:tc>
                <w:tcPr>
                  <w:tcW w:w="1801" w:type="dxa"/>
                  <w:gridSpan w:val="3"/>
                  <w:tcBorders>
                    <w:top w:val="single" w:sz="4" w:space="0" w:color="auto"/>
                    <w:left w:val="nil"/>
                    <w:bottom w:val="single" w:sz="4" w:space="0" w:color="auto"/>
                    <w:right w:val="single" w:sz="4" w:space="0" w:color="auto"/>
                  </w:tcBorders>
                  <w:vAlign w:val="center"/>
                  <w:hideMark/>
                </w:tcPr>
                <w:p w14:paraId="66BDF706"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Zwiększenia w ciągu roku obrotowego</w:t>
                  </w:r>
                </w:p>
              </w:tc>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20BA8178"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Ogółem zwiększenie umorzenia (14+15+16)</w:t>
                  </w:r>
                </w:p>
              </w:tc>
              <w:tc>
                <w:tcPr>
                  <w:tcW w:w="5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058C5F"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Zmniejszenie umorzenia</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25E6DFB2"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Umorzenie - stan na koniec roku obrotowego                                                                                                 (13+17-18)</w:t>
                  </w:r>
                </w:p>
              </w:tc>
              <w:tc>
                <w:tcPr>
                  <w:tcW w:w="1723" w:type="dxa"/>
                  <w:gridSpan w:val="2"/>
                  <w:tcBorders>
                    <w:top w:val="single" w:sz="4" w:space="0" w:color="auto"/>
                    <w:left w:val="nil"/>
                    <w:bottom w:val="single" w:sz="4" w:space="0" w:color="auto"/>
                    <w:right w:val="single" w:sz="4" w:space="0" w:color="auto"/>
                  </w:tcBorders>
                  <w:vAlign w:val="center"/>
                  <w:hideMark/>
                </w:tcPr>
                <w:p w14:paraId="25207892"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Wartość netto składników aktywów</w:t>
                  </w:r>
                </w:p>
              </w:tc>
            </w:tr>
            <w:tr w:rsidR="007D00E5" w:rsidRPr="006C23EC" w14:paraId="3AEF79BD" w14:textId="77777777" w:rsidTr="00E85172">
              <w:trPr>
                <w:trHeight w:val="1695"/>
              </w:trPr>
              <w:tc>
                <w:tcPr>
                  <w:tcW w:w="249" w:type="dxa"/>
                  <w:vMerge/>
                  <w:tcBorders>
                    <w:top w:val="nil"/>
                    <w:left w:val="single" w:sz="4" w:space="0" w:color="auto"/>
                    <w:bottom w:val="single" w:sz="4" w:space="0" w:color="auto"/>
                    <w:right w:val="single" w:sz="4" w:space="0" w:color="auto"/>
                  </w:tcBorders>
                  <w:vAlign w:val="center"/>
                  <w:hideMark/>
                </w:tcPr>
                <w:p w14:paraId="43FA44DF"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1045" w:type="dxa"/>
                  <w:vMerge/>
                  <w:tcBorders>
                    <w:top w:val="nil"/>
                    <w:left w:val="single" w:sz="4" w:space="0" w:color="auto"/>
                    <w:bottom w:val="single" w:sz="4" w:space="0" w:color="auto"/>
                    <w:right w:val="single" w:sz="4" w:space="0" w:color="auto"/>
                  </w:tcBorders>
                  <w:vAlign w:val="center"/>
                  <w:hideMark/>
                </w:tcPr>
                <w:p w14:paraId="7330E54B"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0" w:type="auto"/>
                  <w:vMerge/>
                  <w:tcBorders>
                    <w:top w:val="nil"/>
                    <w:left w:val="single" w:sz="4" w:space="0" w:color="auto"/>
                    <w:bottom w:val="single" w:sz="4" w:space="0" w:color="auto"/>
                    <w:right w:val="single" w:sz="4" w:space="0" w:color="auto"/>
                  </w:tcBorders>
                  <w:vAlign w:val="center"/>
                  <w:hideMark/>
                </w:tcPr>
                <w:p w14:paraId="35D9569F"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459" w:type="dxa"/>
                  <w:tcBorders>
                    <w:top w:val="nil"/>
                    <w:left w:val="nil"/>
                    <w:bottom w:val="single" w:sz="4" w:space="0" w:color="auto"/>
                    <w:right w:val="nil"/>
                  </w:tcBorders>
                  <w:noWrap/>
                  <w:textDirection w:val="btLr"/>
                  <w:vAlign w:val="center"/>
                  <w:hideMark/>
                </w:tcPr>
                <w:p w14:paraId="6DDCECA6"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Aktualizacja</w:t>
                  </w:r>
                </w:p>
              </w:tc>
              <w:tc>
                <w:tcPr>
                  <w:tcW w:w="0" w:type="auto"/>
                  <w:tcBorders>
                    <w:top w:val="nil"/>
                    <w:left w:val="single" w:sz="4" w:space="0" w:color="auto"/>
                    <w:bottom w:val="single" w:sz="4" w:space="0" w:color="auto"/>
                    <w:right w:val="single" w:sz="4" w:space="0" w:color="auto"/>
                  </w:tcBorders>
                  <w:noWrap/>
                  <w:textDirection w:val="btLr"/>
                  <w:vAlign w:val="center"/>
                  <w:hideMark/>
                </w:tcPr>
                <w:p w14:paraId="4F6F82CE"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Przychody</w:t>
                  </w:r>
                </w:p>
              </w:tc>
              <w:tc>
                <w:tcPr>
                  <w:tcW w:w="0" w:type="auto"/>
                  <w:tcBorders>
                    <w:top w:val="nil"/>
                    <w:left w:val="nil"/>
                    <w:bottom w:val="single" w:sz="4" w:space="0" w:color="auto"/>
                    <w:right w:val="nil"/>
                  </w:tcBorders>
                  <w:noWrap/>
                  <w:textDirection w:val="btLr"/>
                  <w:vAlign w:val="center"/>
                  <w:hideMark/>
                </w:tcPr>
                <w:p w14:paraId="03FA0543"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Przemieszczenie</w:t>
                  </w:r>
                </w:p>
              </w:tc>
              <w:tc>
                <w:tcPr>
                  <w:tcW w:w="0" w:type="auto"/>
                  <w:vMerge/>
                  <w:tcBorders>
                    <w:top w:val="nil"/>
                    <w:left w:val="single" w:sz="4" w:space="0" w:color="auto"/>
                    <w:bottom w:val="single" w:sz="4" w:space="0" w:color="auto"/>
                    <w:right w:val="single" w:sz="4" w:space="0" w:color="auto"/>
                  </w:tcBorders>
                  <w:vAlign w:val="center"/>
                  <w:hideMark/>
                </w:tcPr>
                <w:p w14:paraId="29A88873"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0" w:type="auto"/>
                  <w:tcBorders>
                    <w:top w:val="nil"/>
                    <w:left w:val="nil"/>
                    <w:bottom w:val="single" w:sz="4" w:space="0" w:color="auto"/>
                    <w:right w:val="nil"/>
                  </w:tcBorders>
                  <w:noWrap/>
                  <w:vAlign w:val="center"/>
                  <w:hideMark/>
                </w:tcPr>
                <w:p w14:paraId="41876497"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Zbycie</w:t>
                  </w:r>
                </w:p>
              </w:tc>
              <w:tc>
                <w:tcPr>
                  <w:tcW w:w="558" w:type="dxa"/>
                  <w:tcBorders>
                    <w:top w:val="nil"/>
                    <w:left w:val="single" w:sz="4" w:space="0" w:color="auto"/>
                    <w:bottom w:val="single" w:sz="4" w:space="0" w:color="auto"/>
                    <w:right w:val="single" w:sz="4" w:space="0" w:color="auto"/>
                  </w:tcBorders>
                  <w:vAlign w:val="center"/>
                  <w:hideMark/>
                </w:tcPr>
                <w:p w14:paraId="022AD345"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Likwidacja</w:t>
                  </w:r>
                </w:p>
              </w:tc>
              <w:tc>
                <w:tcPr>
                  <w:tcW w:w="584" w:type="dxa"/>
                  <w:tcBorders>
                    <w:top w:val="nil"/>
                    <w:left w:val="nil"/>
                    <w:bottom w:val="single" w:sz="4" w:space="0" w:color="auto"/>
                    <w:right w:val="nil"/>
                  </w:tcBorders>
                  <w:noWrap/>
                  <w:vAlign w:val="center"/>
                  <w:hideMark/>
                </w:tcPr>
                <w:p w14:paraId="3FF7AC73"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Inne</w:t>
                  </w:r>
                </w:p>
              </w:tc>
              <w:tc>
                <w:tcPr>
                  <w:tcW w:w="971" w:type="dxa"/>
                  <w:vMerge/>
                  <w:tcBorders>
                    <w:top w:val="nil"/>
                    <w:left w:val="single" w:sz="4" w:space="0" w:color="auto"/>
                    <w:bottom w:val="single" w:sz="4" w:space="0" w:color="auto"/>
                    <w:right w:val="single" w:sz="4" w:space="0" w:color="auto"/>
                  </w:tcBorders>
                  <w:vAlign w:val="center"/>
                  <w:hideMark/>
                </w:tcPr>
                <w:p w14:paraId="1B9F7BF8"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1008" w:type="dxa"/>
                  <w:vMerge/>
                  <w:tcBorders>
                    <w:top w:val="nil"/>
                    <w:left w:val="single" w:sz="4" w:space="0" w:color="auto"/>
                    <w:bottom w:val="single" w:sz="4" w:space="0" w:color="auto"/>
                    <w:right w:val="single" w:sz="4" w:space="0" w:color="auto"/>
                  </w:tcBorders>
                  <w:vAlign w:val="center"/>
                  <w:hideMark/>
                </w:tcPr>
                <w:p w14:paraId="50638873"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872" w:type="dxa"/>
                  <w:vMerge/>
                  <w:tcBorders>
                    <w:top w:val="nil"/>
                    <w:left w:val="single" w:sz="4" w:space="0" w:color="auto"/>
                    <w:bottom w:val="single" w:sz="4" w:space="0" w:color="auto"/>
                    <w:right w:val="single" w:sz="4" w:space="0" w:color="auto"/>
                  </w:tcBorders>
                  <w:vAlign w:val="center"/>
                  <w:hideMark/>
                </w:tcPr>
                <w:p w14:paraId="157675D4"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391" w:type="dxa"/>
                  <w:tcBorders>
                    <w:top w:val="nil"/>
                    <w:left w:val="nil"/>
                    <w:bottom w:val="single" w:sz="4" w:space="0" w:color="auto"/>
                    <w:right w:val="nil"/>
                  </w:tcBorders>
                  <w:noWrap/>
                  <w:textDirection w:val="btLr"/>
                  <w:vAlign w:val="center"/>
                  <w:hideMark/>
                </w:tcPr>
                <w:p w14:paraId="7C92F584"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Aktualizacja</w:t>
                  </w:r>
                </w:p>
              </w:tc>
              <w:tc>
                <w:tcPr>
                  <w:tcW w:w="789" w:type="dxa"/>
                  <w:tcBorders>
                    <w:top w:val="nil"/>
                    <w:left w:val="single" w:sz="4" w:space="0" w:color="auto"/>
                    <w:bottom w:val="single" w:sz="4" w:space="0" w:color="auto"/>
                    <w:right w:val="single" w:sz="4" w:space="0" w:color="auto"/>
                  </w:tcBorders>
                  <w:textDirection w:val="btLr"/>
                  <w:vAlign w:val="center"/>
                  <w:hideMark/>
                </w:tcPr>
                <w:p w14:paraId="2CE1CF4D"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Amortyzacja za rok obrotowy</w:t>
                  </w:r>
                </w:p>
              </w:tc>
              <w:tc>
                <w:tcPr>
                  <w:tcW w:w="621" w:type="dxa"/>
                  <w:tcBorders>
                    <w:top w:val="nil"/>
                    <w:left w:val="nil"/>
                    <w:bottom w:val="single" w:sz="4" w:space="0" w:color="auto"/>
                    <w:right w:val="nil"/>
                  </w:tcBorders>
                  <w:noWrap/>
                  <w:textDirection w:val="btLr"/>
                  <w:vAlign w:val="center"/>
                  <w:hideMark/>
                </w:tcPr>
                <w:p w14:paraId="6DDA8AAC"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Inne</w:t>
                  </w:r>
                </w:p>
              </w:tc>
              <w:tc>
                <w:tcPr>
                  <w:tcW w:w="848" w:type="dxa"/>
                  <w:vMerge/>
                  <w:tcBorders>
                    <w:top w:val="nil"/>
                    <w:left w:val="single" w:sz="4" w:space="0" w:color="auto"/>
                    <w:bottom w:val="single" w:sz="4" w:space="0" w:color="auto"/>
                    <w:right w:val="single" w:sz="4" w:space="0" w:color="auto"/>
                  </w:tcBorders>
                  <w:vAlign w:val="center"/>
                  <w:hideMark/>
                </w:tcPr>
                <w:p w14:paraId="7406D02F"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537" w:type="dxa"/>
                  <w:vMerge/>
                  <w:tcBorders>
                    <w:top w:val="nil"/>
                    <w:left w:val="single" w:sz="4" w:space="0" w:color="auto"/>
                    <w:bottom w:val="single" w:sz="4" w:space="0" w:color="auto"/>
                    <w:right w:val="single" w:sz="4" w:space="0" w:color="auto"/>
                  </w:tcBorders>
                  <w:vAlign w:val="center"/>
                  <w:hideMark/>
                </w:tcPr>
                <w:p w14:paraId="446D83E6"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922" w:type="dxa"/>
                  <w:vMerge/>
                  <w:tcBorders>
                    <w:top w:val="nil"/>
                    <w:left w:val="single" w:sz="4" w:space="0" w:color="auto"/>
                    <w:bottom w:val="single" w:sz="4" w:space="0" w:color="auto"/>
                    <w:right w:val="single" w:sz="4" w:space="0" w:color="auto"/>
                  </w:tcBorders>
                  <w:vAlign w:val="center"/>
                  <w:hideMark/>
                </w:tcPr>
                <w:p w14:paraId="3869ECE4" w14:textId="77777777" w:rsidR="006C23EC" w:rsidRPr="006C23EC" w:rsidRDefault="006C23EC" w:rsidP="006C23EC">
                  <w:pPr>
                    <w:spacing w:after="0" w:line="240" w:lineRule="auto"/>
                    <w:rPr>
                      <w:rFonts w:ascii="Arial Narrow" w:eastAsia="Times New Roman" w:hAnsi="Arial Narrow" w:cs="Calibri"/>
                      <w:color w:val="000000"/>
                      <w:sz w:val="16"/>
                      <w:szCs w:val="16"/>
                      <w:lang w:eastAsia="pl-PL"/>
                    </w:rPr>
                  </w:pPr>
                </w:p>
              </w:tc>
              <w:tc>
                <w:tcPr>
                  <w:tcW w:w="0" w:type="auto"/>
                  <w:tcBorders>
                    <w:top w:val="nil"/>
                    <w:left w:val="nil"/>
                    <w:bottom w:val="single" w:sz="4" w:space="0" w:color="auto"/>
                    <w:right w:val="single" w:sz="4" w:space="0" w:color="auto"/>
                  </w:tcBorders>
                  <w:vAlign w:val="center"/>
                  <w:hideMark/>
                </w:tcPr>
                <w:p w14:paraId="52B1B49A" w14:textId="4A5D9B9D"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 xml:space="preserve">Stan na </w:t>
                  </w:r>
                  <w:r w:rsidR="00BC355F" w:rsidRPr="006C23EC">
                    <w:rPr>
                      <w:rFonts w:ascii="Arial Narrow" w:eastAsia="Times New Roman" w:hAnsi="Arial Narrow" w:cs="Calibri"/>
                      <w:color w:val="000000"/>
                      <w:sz w:val="16"/>
                      <w:szCs w:val="16"/>
                      <w:lang w:eastAsia="pl-PL"/>
                    </w:rPr>
                    <w:t>początek</w:t>
                  </w:r>
                  <w:r w:rsidRPr="006C23EC">
                    <w:rPr>
                      <w:rFonts w:ascii="Arial Narrow" w:eastAsia="Times New Roman" w:hAnsi="Arial Narrow" w:cs="Calibri"/>
                      <w:color w:val="000000"/>
                      <w:sz w:val="16"/>
                      <w:szCs w:val="16"/>
                      <w:lang w:eastAsia="pl-PL"/>
                    </w:rPr>
                    <w:t xml:space="preserve"> roku obrotowego                                                                                                                                                                           (3-13)</w:t>
                  </w:r>
                </w:p>
              </w:tc>
              <w:tc>
                <w:tcPr>
                  <w:tcW w:w="827" w:type="dxa"/>
                  <w:tcBorders>
                    <w:top w:val="nil"/>
                    <w:left w:val="nil"/>
                    <w:bottom w:val="single" w:sz="4" w:space="0" w:color="auto"/>
                    <w:right w:val="single" w:sz="4" w:space="0" w:color="auto"/>
                  </w:tcBorders>
                  <w:vAlign w:val="center"/>
                  <w:hideMark/>
                </w:tcPr>
                <w:p w14:paraId="066A669E" w14:textId="77777777" w:rsidR="006C23EC" w:rsidRPr="006C23EC" w:rsidRDefault="006C23EC" w:rsidP="006C23EC">
                  <w:pPr>
                    <w:spacing w:after="0" w:line="240" w:lineRule="auto"/>
                    <w:jc w:val="center"/>
                    <w:rPr>
                      <w:rFonts w:ascii="Arial Narrow" w:eastAsia="Times New Roman" w:hAnsi="Arial Narrow" w:cs="Calibri"/>
                      <w:color w:val="000000"/>
                      <w:sz w:val="16"/>
                      <w:szCs w:val="16"/>
                      <w:lang w:eastAsia="pl-PL"/>
                    </w:rPr>
                  </w:pPr>
                  <w:r w:rsidRPr="006C23EC">
                    <w:rPr>
                      <w:rFonts w:ascii="Arial Narrow" w:eastAsia="Times New Roman" w:hAnsi="Arial Narrow" w:cs="Calibri"/>
                      <w:color w:val="000000"/>
                      <w:sz w:val="16"/>
                      <w:szCs w:val="16"/>
                      <w:lang w:eastAsia="pl-PL"/>
                    </w:rPr>
                    <w:t>Stan na koniec roku obrotowego                                                                                                                                                                          (12-19)</w:t>
                  </w:r>
                </w:p>
              </w:tc>
            </w:tr>
            <w:tr w:rsidR="007D00E5" w:rsidRPr="006C23EC" w14:paraId="4A8F70CE" w14:textId="77777777" w:rsidTr="00E85172">
              <w:trPr>
                <w:trHeight w:val="198"/>
              </w:trPr>
              <w:tc>
                <w:tcPr>
                  <w:tcW w:w="249" w:type="dxa"/>
                  <w:tcBorders>
                    <w:top w:val="single" w:sz="4" w:space="0" w:color="auto"/>
                    <w:left w:val="single" w:sz="4" w:space="0" w:color="auto"/>
                    <w:bottom w:val="single" w:sz="4" w:space="0" w:color="auto"/>
                    <w:right w:val="single" w:sz="4" w:space="0" w:color="auto"/>
                  </w:tcBorders>
                  <w:noWrap/>
                  <w:vAlign w:val="center"/>
                  <w:hideMark/>
                </w:tcPr>
                <w:p w14:paraId="101E264C"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w:t>
                  </w:r>
                </w:p>
              </w:tc>
              <w:tc>
                <w:tcPr>
                  <w:tcW w:w="1045" w:type="dxa"/>
                  <w:tcBorders>
                    <w:top w:val="single" w:sz="4" w:space="0" w:color="auto"/>
                    <w:left w:val="nil"/>
                    <w:bottom w:val="single" w:sz="4" w:space="0" w:color="auto"/>
                    <w:right w:val="single" w:sz="4" w:space="0" w:color="auto"/>
                  </w:tcBorders>
                  <w:noWrap/>
                  <w:vAlign w:val="center"/>
                  <w:hideMark/>
                </w:tcPr>
                <w:p w14:paraId="6FAFF4E4"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2</w:t>
                  </w:r>
                </w:p>
              </w:tc>
              <w:tc>
                <w:tcPr>
                  <w:tcW w:w="0" w:type="auto"/>
                  <w:tcBorders>
                    <w:top w:val="single" w:sz="4" w:space="0" w:color="auto"/>
                    <w:left w:val="nil"/>
                    <w:bottom w:val="single" w:sz="4" w:space="0" w:color="auto"/>
                    <w:right w:val="single" w:sz="4" w:space="0" w:color="auto"/>
                  </w:tcBorders>
                  <w:noWrap/>
                  <w:vAlign w:val="center"/>
                  <w:hideMark/>
                </w:tcPr>
                <w:p w14:paraId="4C52D360"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3</w:t>
                  </w:r>
                </w:p>
              </w:tc>
              <w:tc>
                <w:tcPr>
                  <w:tcW w:w="459" w:type="dxa"/>
                  <w:tcBorders>
                    <w:top w:val="single" w:sz="4" w:space="0" w:color="auto"/>
                    <w:left w:val="nil"/>
                    <w:bottom w:val="single" w:sz="4" w:space="0" w:color="auto"/>
                    <w:right w:val="single" w:sz="4" w:space="0" w:color="auto"/>
                  </w:tcBorders>
                  <w:noWrap/>
                  <w:vAlign w:val="center"/>
                  <w:hideMark/>
                </w:tcPr>
                <w:p w14:paraId="2083F028"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4</w:t>
                  </w:r>
                </w:p>
              </w:tc>
              <w:tc>
                <w:tcPr>
                  <w:tcW w:w="0" w:type="auto"/>
                  <w:tcBorders>
                    <w:top w:val="single" w:sz="4" w:space="0" w:color="auto"/>
                    <w:left w:val="nil"/>
                    <w:bottom w:val="single" w:sz="4" w:space="0" w:color="auto"/>
                    <w:right w:val="single" w:sz="4" w:space="0" w:color="auto"/>
                  </w:tcBorders>
                  <w:noWrap/>
                  <w:vAlign w:val="center"/>
                  <w:hideMark/>
                </w:tcPr>
                <w:p w14:paraId="00A0DFB0"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5</w:t>
                  </w:r>
                </w:p>
              </w:tc>
              <w:tc>
                <w:tcPr>
                  <w:tcW w:w="0" w:type="auto"/>
                  <w:tcBorders>
                    <w:top w:val="single" w:sz="4" w:space="0" w:color="auto"/>
                    <w:left w:val="nil"/>
                    <w:bottom w:val="single" w:sz="4" w:space="0" w:color="auto"/>
                    <w:right w:val="single" w:sz="4" w:space="0" w:color="auto"/>
                  </w:tcBorders>
                  <w:noWrap/>
                  <w:vAlign w:val="center"/>
                  <w:hideMark/>
                </w:tcPr>
                <w:p w14:paraId="36B21C69"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6</w:t>
                  </w:r>
                </w:p>
              </w:tc>
              <w:tc>
                <w:tcPr>
                  <w:tcW w:w="0" w:type="auto"/>
                  <w:tcBorders>
                    <w:top w:val="single" w:sz="4" w:space="0" w:color="auto"/>
                    <w:left w:val="nil"/>
                    <w:bottom w:val="single" w:sz="4" w:space="0" w:color="auto"/>
                    <w:right w:val="single" w:sz="4" w:space="0" w:color="auto"/>
                  </w:tcBorders>
                  <w:noWrap/>
                  <w:vAlign w:val="center"/>
                  <w:hideMark/>
                </w:tcPr>
                <w:p w14:paraId="69F8A7D5"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7</w:t>
                  </w:r>
                </w:p>
              </w:tc>
              <w:tc>
                <w:tcPr>
                  <w:tcW w:w="0" w:type="auto"/>
                  <w:tcBorders>
                    <w:top w:val="single" w:sz="4" w:space="0" w:color="auto"/>
                    <w:left w:val="nil"/>
                    <w:bottom w:val="single" w:sz="4" w:space="0" w:color="auto"/>
                    <w:right w:val="single" w:sz="4" w:space="0" w:color="auto"/>
                  </w:tcBorders>
                  <w:noWrap/>
                  <w:vAlign w:val="center"/>
                  <w:hideMark/>
                </w:tcPr>
                <w:p w14:paraId="034B8AD2"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8</w:t>
                  </w:r>
                </w:p>
              </w:tc>
              <w:tc>
                <w:tcPr>
                  <w:tcW w:w="558" w:type="dxa"/>
                  <w:tcBorders>
                    <w:top w:val="single" w:sz="4" w:space="0" w:color="auto"/>
                    <w:left w:val="nil"/>
                    <w:bottom w:val="single" w:sz="4" w:space="0" w:color="auto"/>
                    <w:right w:val="single" w:sz="4" w:space="0" w:color="auto"/>
                  </w:tcBorders>
                  <w:noWrap/>
                  <w:vAlign w:val="center"/>
                  <w:hideMark/>
                </w:tcPr>
                <w:p w14:paraId="0419581C"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9</w:t>
                  </w:r>
                </w:p>
              </w:tc>
              <w:tc>
                <w:tcPr>
                  <w:tcW w:w="584" w:type="dxa"/>
                  <w:tcBorders>
                    <w:top w:val="single" w:sz="4" w:space="0" w:color="auto"/>
                    <w:left w:val="nil"/>
                    <w:bottom w:val="single" w:sz="4" w:space="0" w:color="auto"/>
                    <w:right w:val="single" w:sz="4" w:space="0" w:color="auto"/>
                  </w:tcBorders>
                  <w:noWrap/>
                  <w:vAlign w:val="center"/>
                  <w:hideMark/>
                </w:tcPr>
                <w:p w14:paraId="5B55D807"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10</w:t>
                  </w:r>
                </w:p>
              </w:tc>
              <w:tc>
                <w:tcPr>
                  <w:tcW w:w="971" w:type="dxa"/>
                  <w:tcBorders>
                    <w:top w:val="single" w:sz="4" w:space="0" w:color="auto"/>
                    <w:left w:val="nil"/>
                    <w:bottom w:val="single" w:sz="4" w:space="0" w:color="auto"/>
                    <w:right w:val="single" w:sz="4" w:space="0" w:color="auto"/>
                  </w:tcBorders>
                  <w:noWrap/>
                  <w:vAlign w:val="center"/>
                  <w:hideMark/>
                </w:tcPr>
                <w:p w14:paraId="074D7BAC"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11</w:t>
                  </w:r>
                </w:p>
              </w:tc>
              <w:tc>
                <w:tcPr>
                  <w:tcW w:w="1008" w:type="dxa"/>
                  <w:tcBorders>
                    <w:top w:val="single" w:sz="4" w:space="0" w:color="auto"/>
                    <w:left w:val="nil"/>
                    <w:bottom w:val="single" w:sz="4" w:space="0" w:color="auto"/>
                    <w:right w:val="single" w:sz="4" w:space="0" w:color="auto"/>
                  </w:tcBorders>
                  <w:noWrap/>
                  <w:vAlign w:val="center"/>
                  <w:hideMark/>
                </w:tcPr>
                <w:p w14:paraId="428E38B2"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12</w:t>
                  </w:r>
                </w:p>
              </w:tc>
              <w:tc>
                <w:tcPr>
                  <w:tcW w:w="872" w:type="dxa"/>
                  <w:tcBorders>
                    <w:top w:val="single" w:sz="4" w:space="0" w:color="auto"/>
                    <w:left w:val="nil"/>
                    <w:bottom w:val="single" w:sz="4" w:space="0" w:color="auto"/>
                    <w:right w:val="single" w:sz="4" w:space="0" w:color="auto"/>
                  </w:tcBorders>
                  <w:noWrap/>
                  <w:vAlign w:val="center"/>
                  <w:hideMark/>
                </w:tcPr>
                <w:p w14:paraId="6521DBE1"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13</w:t>
                  </w:r>
                </w:p>
              </w:tc>
              <w:tc>
                <w:tcPr>
                  <w:tcW w:w="391" w:type="dxa"/>
                  <w:tcBorders>
                    <w:top w:val="single" w:sz="4" w:space="0" w:color="auto"/>
                    <w:left w:val="nil"/>
                    <w:bottom w:val="single" w:sz="4" w:space="0" w:color="auto"/>
                    <w:right w:val="single" w:sz="4" w:space="0" w:color="auto"/>
                  </w:tcBorders>
                  <w:noWrap/>
                  <w:vAlign w:val="center"/>
                  <w:hideMark/>
                </w:tcPr>
                <w:p w14:paraId="5EFD310F"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14</w:t>
                  </w:r>
                </w:p>
              </w:tc>
              <w:tc>
                <w:tcPr>
                  <w:tcW w:w="789" w:type="dxa"/>
                  <w:tcBorders>
                    <w:top w:val="single" w:sz="4" w:space="0" w:color="auto"/>
                    <w:left w:val="nil"/>
                    <w:bottom w:val="single" w:sz="4" w:space="0" w:color="auto"/>
                    <w:right w:val="single" w:sz="4" w:space="0" w:color="auto"/>
                  </w:tcBorders>
                  <w:noWrap/>
                  <w:vAlign w:val="center"/>
                  <w:hideMark/>
                </w:tcPr>
                <w:p w14:paraId="325002FD"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15</w:t>
                  </w:r>
                </w:p>
              </w:tc>
              <w:tc>
                <w:tcPr>
                  <w:tcW w:w="621" w:type="dxa"/>
                  <w:tcBorders>
                    <w:top w:val="single" w:sz="4" w:space="0" w:color="auto"/>
                    <w:left w:val="nil"/>
                    <w:bottom w:val="single" w:sz="4" w:space="0" w:color="auto"/>
                    <w:right w:val="single" w:sz="4" w:space="0" w:color="auto"/>
                  </w:tcBorders>
                  <w:noWrap/>
                  <w:vAlign w:val="center"/>
                  <w:hideMark/>
                </w:tcPr>
                <w:p w14:paraId="428F6506"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16</w:t>
                  </w:r>
                </w:p>
              </w:tc>
              <w:tc>
                <w:tcPr>
                  <w:tcW w:w="848" w:type="dxa"/>
                  <w:tcBorders>
                    <w:top w:val="single" w:sz="4" w:space="0" w:color="auto"/>
                    <w:left w:val="nil"/>
                    <w:bottom w:val="single" w:sz="4" w:space="0" w:color="auto"/>
                    <w:right w:val="single" w:sz="4" w:space="0" w:color="auto"/>
                  </w:tcBorders>
                  <w:noWrap/>
                  <w:vAlign w:val="center"/>
                  <w:hideMark/>
                </w:tcPr>
                <w:p w14:paraId="12236B1A"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17</w:t>
                  </w:r>
                </w:p>
              </w:tc>
              <w:tc>
                <w:tcPr>
                  <w:tcW w:w="537" w:type="dxa"/>
                  <w:tcBorders>
                    <w:top w:val="single" w:sz="4" w:space="0" w:color="auto"/>
                    <w:left w:val="nil"/>
                    <w:bottom w:val="single" w:sz="4" w:space="0" w:color="auto"/>
                    <w:right w:val="single" w:sz="4" w:space="0" w:color="auto"/>
                  </w:tcBorders>
                  <w:noWrap/>
                  <w:vAlign w:val="center"/>
                  <w:hideMark/>
                </w:tcPr>
                <w:p w14:paraId="73D088B4"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18</w:t>
                  </w:r>
                </w:p>
              </w:tc>
              <w:tc>
                <w:tcPr>
                  <w:tcW w:w="922" w:type="dxa"/>
                  <w:tcBorders>
                    <w:top w:val="single" w:sz="4" w:space="0" w:color="auto"/>
                    <w:left w:val="nil"/>
                    <w:bottom w:val="single" w:sz="4" w:space="0" w:color="auto"/>
                    <w:right w:val="single" w:sz="4" w:space="0" w:color="auto"/>
                  </w:tcBorders>
                  <w:noWrap/>
                  <w:vAlign w:val="center"/>
                  <w:hideMark/>
                </w:tcPr>
                <w:p w14:paraId="22194D70"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19</w:t>
                  </w:r>
                </w:p>
              </w:tc>
              <w:tc>
                <w:tcPr>
                  <w:tcW w:w="0" w:type="auto"/>
                  <w:tcBorders>
                    <w:top w:val="single" w:sz="4" w:space="0" w:color="auto"/>
                    <w:left w:val="nil"/>
                    <w:bottom w:val="single" w:sz="4" w:space="0" w:color="auto"/>
                    <w:right w:val="single" w:sz="4" w:space="0" w:color="auto"/>
                  </w:tcBorders>
                  <w:noWrap/>
                  <w:vAlign w:val="center"/>
                  <w:hideMark/>
                </w:tcPr>
                <w:p w14:paraId="3FBC98D4"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20</w:t>
                  </w:r>
                </w:p>
              </w:tc>
              <w:tc>
                <w:tcPr>
                  <w:tcW w:w="827" w:type="dxa"/>
                  <w:tcBorders>
                    <w:top w:val="single" w:sz="4" w:space="0" w:color="auto"/>
                    <w:left w:val="nil"/>
                    <w:bottom w:val="single" w:sz="4" w:space="0" w:color="auto"/>
                    <w:right w:val="single" w:sz="4" w:space="0" w:color="auto"/>
                  </w:tcBorders>
                  <w:noWrap/>
                  <w:vAlign w:val="center"/>
                  <w:hideMark/>
                </w:tcPr>
                <w:p w14:paraId="413FE05F" w14:textId="77777777" w:rsidR="006C23EC" w:rsidRPr="006C23EC" w:rsidRDefault="006C23EC" w:rsidP="006C23EC">
                  <w:pPr>
                    <w:spacing w:after="0" w:line="240" w:lineRule="auto"/>
                    <w:jc w:val="center"/>
                    <w:rPr>
                      <w:rFonts w:ascii="Arial Narrow" w:eastAsia="Times New Roman" w:hAnsi="Arial Narrow" w:cs="Calibri"/>
                      <w:i/>
                      <w:iCs/>
                      <w:color w:val="000000"/>
                      <w:sz w:val="16"/>
                      <w:szCs w:val="16"/>
                      <w:lang w:eastAsia="pl-PL"/>
                    </w:rPr>
                  </w:pPr>
                  <w:r w:rsidRPr="006C23EC">
                    <w:rPr>
                      <w:rFonts w:ascii="Arial Narrow" w:eastAsia="Times New Roman" w:hAnsi="Arial Narrow" w:cs="Calibri"/>
                      <w:i/>
                      <w:iCs/>
                      <w:color w:val="000000"/>
                      <w:sz w:val="16"/>
                      <w:szCs w:val="16"/>
                      <w:lang w:eastAsia="pl-PL"/>
                    </w:rPr>
                    <w:t>21</w:t>
                  </w:r>
                </w:p>
              </w:tc>
            </w:tr>
            <w:tr w:rsidR="007D00E5" w:rsidRPr="007D00E5" w14:paraId="3FAEFE47" w14:textId="77777777" w:rsidTr="00544062">
              <w:trPr>
                <w:trHeight w:val="792"/>
              </w:trPr>
              <w:tc>
                <w:tcPr>
                  <w:tcW w:w="249" w:type="dxa"/>
                  <w:tcBorders>
                    <w:top w:val="nil"/>
                    <w:left w:val="single" w:sz="4" w:space="0" w:color="auto"/>
                    <w:bottom w:val="single" w:sz="4" w:space="0" w:color="auto"/>
                    <w:right w:val="single" w:sz="4" w:space="0" w:color="auto"/>
                  </w:tcBorders>
                  <w:noWrap/>
                  <w:vAlign w:val="center"/>
                  <w:hideMark/>
                </w:tcPr>
                <w:p w14:paraId="7BE775EF" w14:textId="77777777" w:rsidR="006C23EC" w:rsidRPr="007D00E5" w:rsidRDefault="006C23EC" w:rsidP="006C23EC">
                  <w:pPr>
                    <w:spacing w:after="0" w:line="240" w:lineRule="auto"/>
                    <w:jc w:val="center"/>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1.</w:t>
                  </w:r>
                </w:p>
              </w:tc>
              <w:tc>
                <w:tcPr>
                  <w:tcW w:w="1045" w:type="dxa"/>
                  <w:tcBorders>
                    <w:top w:val="nil"/>
                    <w:left w:val="nil"/>
                    <w:bottom w:val="single" w:sz="4" w:space="0" w:color="auto"/>
                    <w:right w:val="single" w:sz="4" w:space="0" w:color="auto"/>
                  </w:tcBorders>
                  <w:vAlign w:val="center"/>
                  <w:hideMark/>
                </w:tcPr>
                <w:p w14:paraId="79A44FA0" w14:textId="77777777" w:rsidR="006C23EC" w:rsidRPr="007D00E5" w:rsidRDefault="006C23EC" w:rsidP="006C23EC">
                  <w:pPr>
                    <w:spacing w:after="0" w:line="240" w:lineRule="auto"/>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Wartości niematerialne                          i prawne</w:t>
                  </w:r>
                </w:p>
              </w:tc>
              <w:tc>
                <w:tcPr>
                  <w:tcW w:w="0" w:type="auto"/>
                  <w:tcBorders>
                    <w:top w:val="nil"/>
                    <w:left w:val="nil"/>
                    <w:bottom w:val="single" w:sz="4" w:space="0" w:color="auto"/>
                    <w:right w:val="single" w:sz="4" w:space="0" w:color="auto"/>
                  </w:tcBorders>
                  <w:noWrap/>
                  <w:vAlign w:val="center"/>
                  <w:hideMark/>
                </w:tcPr>
                <w:p w14:paraId="2F8FAC6E" w14:textId="47AB2306"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15 371,86</w:t>
                  </w:r>
                </w:p>
              </w:tc>
              <w:tc>
                <w:tcPr>
                  <w:tcW w:w="459" w:type="dxa"/>
                  <w:tcBorders>
                    <w:top w:val="nil"/>
                    <w:left w:val="nil"/>
                    <w:bottom w:val="single" w:sz="4" w:space="0" w:color="auto"/>
                    <w:right w:val="single" w:sz="4" w:space="0" w:color="auto"/>
                  </w:tcBorders>
                  <w:noWrap/>
                  <w:vAlign w:val="center"/>
                  <w:hideMark/>
                </w:tcPr>
                <w:p w14:paraId="35D6C2D1"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0AFC9103" w14:textId="61D2965F"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1653E5B3" w14:textId="77777777" w:rsidR="006C23EC" w:rsidRPr="006D6590" w:rsidRDefault="006C23EC" w:rsidP="006C23EC">
                  <w:pPr>
                    <w:spacing w:after="0" w:line="240" w:lineRule="auto"/>
                    <w:jc w:val="right"/>
                    <w:rPr>
                      <w:rFonts w:ascii="Arial Narrow" w:eastAsia="Times New Roman" w:hAnsi="Arial Narrow" w:cs="Calibri"/>
                      <w:b/>
                      <w:bCs/>
                      <w:color w:val="000000"/>
                      <w:sz w:val="12"/>
                      <w:szCs w:val="12"/>
                      <w:lang w:eastAsia="pl-PL"/>
                    </w:rPr>
                  </w:pPr>
                  <w:r w:rsidRPr="006D6590">
                    <w:rPr>
                      <w:rFonts w:ascii="Arial Narrow" w:eastAsia="Times New Roman" w:hAnsi="Arial Narrow" w:cs="Calibri"/>
                      <w:b/>
                      <w:bCs/>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2B9FD40D" w14:textId="6E3344EE"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2D96D043"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0DC07681"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2B8EF660"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268E8D9A"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45DB26C9" w14:textId="78151372" w:rsidR="006C23EC" w:rsidRPr="007D00E5" w:rsidRDefault="00BA14E8"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15 371,86</w:t>
                  </w:r>
                </w:p>
              </w:tc>
              <w:tc>
                <w:tcPr>
                  <w:tcW w:w="872" w:type="dxa"/>
                  <w:tcBorders>
                    <w:top w:val="nil"/>
                    <w:left w:val="nil"/>
                    <w:bottom w:val="single" w:sz="4" w:space="0" w:color="auto"/>
                    <w:right w:val="single" w:sz="4" w:space="0" w:color="auto"/>
                  </w:tcBorders>
                  <w:noWrap/>
                  <w:vAlign w:val="center"/>
                  <w:hideMark/>
                </w:tcPr>
                <w:p w14:paraId="036BBEB2" w14:textId="5861F32A"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15 371,86</w:t>
                  </w:r>
                </w:p>
              </w:tc>
              <w:tc>
                <w:tcPr>
                  <w:tcW w:w="391" w:type="dxa"/>
                  <w:tcBorders>
                    <w:top w:val="nil"/>
                    <w:left w:val="nil"/>
                    <w:bottom w:val="single" w:sz="4" w:space="0" w:color="auto"/>
                    <w:right w:val="single" w:sz="4" w:space="0" w:color="auto"/>
                  </w:tcBorders>
                  <w:noWrap/>
                  <w:vAlign w:val="center"/>
                  <w:hideMark/>
                </w:tcPr>
                <w:p w14:paraId="577F65B0"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4D6D0587"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621" w:type="dxa"/>
                  <w:tcBorders>
                    <w:top w:val="nil"/>
                    <w:left w:val="nil"/>
                    <w:bottom w:val="single" w:sz="4" w:space="0" w:color="auto"/>
                    <w:right w:val="single" w:sz="4" w:space="0" w:color="auto"/>
                  </w:tcBorders>
                  <w:noWrap/>
                  <w:vAlign w:val="center"/>
                  <w:hideMark/>
                </w:tcPr>
                <w:p w14:paraId="6A79D7CB" w14:textId="53949ABB"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5F587916" w14:textId="68F68B80"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537" w:type="dxa"/>
                  <w:tcBorders>
                    <w:top w:val="nil"/>
                    <w:left w:val="nil"/>
                    <w:bottom w:val="single" w:sz="4" w:space="0" w:color="auto"/>
                    <w:right w:val="single" w:sz="4" w:space="0" w:color="auto"/>
                  </w:tcBorders>
                  <w:noWrap/>
                  <w:vAlign w:val="center"/>
                  <w:hideMark/>
                </w:tcPr>
                <w:p w14:paraId="602A21DF"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4B6262E5" w14:textId="46DD40BB" w:rsidR="006C23EC" w:rsidRPr="007D00E5" w:rsidRDefault="00BA14E8"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15 371,86</w:t>
                  </w:r>
                </w:p>
              </w:tc>
              <w:tc>
                <w:tcPr>
                  <w:tcW w:w="0" w:type="auto"/>
                  <w:tcBorders>
                    <w:top w:val="nil"/>
                    <w:left w:val="nil"/>
                    <w:bottom w:val="single" w:sz="4" w:space="0" w:color="auto"/>
                    <w:right w:val="single" w:sz="4" w:space="0" w:color="auto"/>
                  </w:tcBorders>
                  <w:noWrap/>
                  <w:vAlign w:val="center"/>
                  <w:hideMark/>
                </w:tcPr>
                <w:p w14:paraId="1878C0D6"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827" w:type="dxa"/>
                  <w:tcBorders>
                    <w:top w:val="nil"/>
                    <w:left w:val="nil"/>
                    <w:bottom w:val="single" w:sz="4" w:space="0" w:color="auto"/>
                    <w:right w:val="single" w:sz="4" w:space="0" w:color="auto"/>
                  </w:tcBorders>
                  <w:noWrap/>
                  <w:vAlign w:val="center"/>
                  <w:hideMark/>
                </w:tcPr>
                <w:p w14:paraId="6B8A9CD1"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r>
            <w:tr w:rsidR="007D00E5" w:rsidRPr="007D00E5" w14:paraId="01A79BB5" w14:textId="77777777" w:rsidTr="00544062">
              <w:trPr>
                <w:trHeight w:val="540"/>
              </w:trPr>
              <w:tc>
                <w:tcPr>
                  <w:tcW w:w="249" w:type="dxa"/>
                  <w:tcBorders>
                    <w:top w:val="nil"/>
                    <w:left w:val="single" w:sz="4" w:space="0" w:color="auto"/>
                    <w:bottom w:val="single" w:sz="4" w:space="0" w:color="auto"/>
                    <w:right w:val="single" w:sz="4" w:space="0" w:color="auto"/>
                  </w:tcBorders>
                  <w:noWrap/>
                  <w:vAlign w:val="center"/>
                  <w:hideMark/>
                </w:tcPr>
                <w:p w14:paraId="375DC97A" w14:textId="77777777" w:rsidR="006C23EC" w:rsidRPr="007D00E5" w:rsidRDefault="006C23EC" w:rsidP="006C23EC">
                  <w:pPr>
                    <w:spacing w:after="0" w:line="240" w:lineRule="auto"/>
                    <w:jc w:val="center"/>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2.</w:t>
                  </w:r>
                </w:p>
              </w:tc>
              <w:tc>
                <w:tcPr>
                  <w:tcW w:w="1045" w:type="dxa"/>
                  <w:tcBorders>
                    <w:top w:val="nil"/>
                    <w:left w:val="nil"/>
                    <w:bottom w:val="single" w:sz="4" w:space="0" w:color="auto"/>
                    <w:right w:val="single" w:sz="4" w:space="0" w:color="auto"/>
                  </w:tcBorders>
                  <w:noWrap/>
                  <w:vAlign w:val="center"/>
                  <w:hideMark/>
                </w:tcPr>
                <w:p w14:paraId="24072570" w14:textId="77777777" w:rsidR="006C23EC" w:rsidRPr="007D00E5" w:rsidRDefault="006C23EC" w:rsidP="006C23EC">
                  <w:pPr>
                    <w:spacing w:after="0" w:line="240" w:lineRule="auto"/>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Środki trwałe</w:t>
                  </w:r>
                </w:p>
              </w:tc>
              <w:tc>
                <w:tcPr>
                  <w:tcW w:w="0" w:type="auto"/>
                  <w:tcBorders>
                    <w:top w:val="nil"/>
                    <w:left w:val="nil"/>
                    <w:bottom w:val="single" w:sz="4" w:space="0" w:color="auto"/>
                    <w:right w:val="single" w:sz="4" w:space="0" w:color="auto"/>
                  </w:tcBorders>
                  <w:noWrap/>
                  <w:vAlign w:val="center"/>
                  <w:hideMark/>
                </w:tcPr>
                <w:p w14:paraId="4134048B"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6 591 972,31</w:t>
                  </w:r>
                </w:p>
              </w:tc>
              <w:tc>
                <w:tcPr>
                  <w:tcW w:w="459" w:type="dxa"/>
                  <w:tcBorders>
                    <w:top w:val="nil"/>
                    <w:left w:val="nil"/>
                    <w:bottom w:val="single" w:sz="4" w:space="0" w:color="auto"/>
                    <w:right w:val="single" w:sz="4" w:space="0" w:color="auto"/>
                  </w:tcBorders>
                  <w:noWrap/>
                  <w:vAlign w:val="center"/>
                  <w:hideMark/>
                </w:tcPr>
                <w:p w14:paraId="039F0D96"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07D8D2BE"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24196CB0" w14:textId="77777777" w:rsidR="006C23EC" w:rsidRPr="006D6590" w:rsidRDefault="006C23EC" w:rsidP="006C23EC">
                  <w:pPr>
                    <w:spacing w:after="0" w:line="240" w:lineRule="auto"/>
                    <w:jc w:val="right"/>
                    <w:rPr>
                      <w:rFonts w:ascii="Arial Narrow" w:eastAsia="Times New Roman" w:hAnsi="Arial Narrow" w:cs="Calibri"/>
                      <w:b/>
                      <w:bCs/>
                      <w:color w:val="000000"/>
                      <w:sz w:val="12"/>
                      <w:szCs w:val="12"/>
                      <w:lang w:eastAsia="pl-PL"/>
                    </w:rPr>
                  </w:pPr>
                  <w:r w:rsidRPr="006D6590">
                    <w:rPr>
                      <w:rFonts w:ascii="Arial Narrow" w:eastAsia="Times New Roman" w:hAnsi="Arial Narrow" w:cs="Calibri"/>
                      <w:b/>
                      <w:bCs/>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7E6B4F1C"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75C6E7B2"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6AB381AF"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038317AE"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57302069"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6C5850CE"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6 591 972,31</w:t>
                  </w:r>
                </w:p>
              </w:tc>
              <w:tc>
                <w:tcPr>
                  <w:tcW w:w="872" w:type="dxa"/>
                  <w:tcBorders>
                    <w:top w:val="nil"/>
                    <w:left w:val="nil"/>
                    <w:bottom w:val="single" w:sz="4" w:space="0" w:color="auto"/>
                    <w:right w:val="single" w:sz="4" w:space="0" w:color="auto"/>
                  </w:tcBorders>
                  <w:noWrap/>
                  <w:vAlign w:val="center"/>
                  <w:hideMark/>
                </w:tcPr>
                <w:p w14:paraId="1320E7EC" w14:textId="6636BD77"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3 323 455,77</w:t>
                  </w:r>
                </w:p>
              </w:tc>
              <w:tc>
                <w:tcPr>
                  <w:tcW w:w="391" w:type="dxa"/>
                  <w:tcBorders>
                    <w:top w:val="nil"/>
                    <w:left w:val="nil"/>
                    <w:bottom w:val="single" w:sz="4" w:space="0" w:color="auto"/>
                    <w:right w:val="single" w:sz="4" w:space="0" w:color="auto"/>
                  </w:tcBorders>
                  <w:noWrap/>
                  <w:vAlign w:val="center"/>
                  <w:hideMark/>
                </w:tcPr>
                <w:p w14:paraId="706E1097"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497F521D"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178 114,08</w:t>
                  </w:r>
                </w:p>
              </w:tc>
              <w:tc>
                <w:tcPr>
                  <w:tcW w:w="621" w:type="dxa"/>
                  <w:tcBorders>
                    <w:top w:val="nil"/>
                    <w:left w:val="nil"/>
                    <w:bottom w:val="single" w:sz="4" w:space="0" w:color="auto"/>
                    <w:right w:val="single" w:sz="4" w:space="0" w:color="auto"/>
                  </w:tcBorders>
                  <w:noWrap/>
                  <w:vAlign w:val="center"/>
                  <w:hideMark/>
                </w:tcPr>
                <w:p w14:paraId="347DF3AF"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5EFA4F8C"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178 114,08</w:t>
                  </w:r>
                </w:p>
              </w:tc>
              <w:tc>
                <w:tcPr>
                  <w:tcW w:w="537" w:type="dxa"/>
                  <w:tcBorders>
                    <w:top w:val="nil"/>
                    <w:left w:val="nil"/>
                    <w:bottom w:val="single" w:sz="4" w:space="0" w:color="auto"/>
                    <w:right w:val="single" w:sz="4" w:space="0" w:color="auto"/>
                  </w:tcBorders>
                  <w:noWrap/>
                  <w:vAlign w:val="center"/>
                  <w:hideMark/>
                </w:tcPr>
                <w:p w14:paraId="43CA98EF"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4E59D1F4" w14:textId="30829840"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3 501 569,85</w:t>
                  </w:r>
                </w:p>
              </w:tc>
              <w:tc>
                <w:tcPr>
                  <w:tcW w:w="0" w:type="auto"/>
                  <w:tcBorders>
                    <w:top w:val="nil"/>
                    <w:left w:val="nil"/>
                    <w:bottom w:val="single" w:sz="4" w:space="0" w:color="auto"/>
                    <w:right w:val="single" w:sz="4" w:space="0" w:color="auto"/>
                  </w:tcBorders>
                  <w:noWrap/>
                  <w:vAlign w:val="center"/>
                  <w:hideMark/>
                </w:tcPr>
                <w:p w14:paraId="66D86244" w14:textId="775E616E"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3 268 516,54</w:t>
                  </w:r>
                </w:p>
              </w:tc>
              <w:tc>
                <w:tcPr>
                  <w:tcW w:w="827" w:type="dxa"/>
                  <w:tcBorders>
                    <w:top w:val="nil"/>
                    <w:left w:val="nil"/>
                    <w:bottom w:val="single" w:sz="4" w:space="0" w:color="auto"/>
                    <w:right w:val="single" w:sz="4" w:space="0" w:color="auto"/>
                  </w:tcBorders>
                  <w:noWrap/>
                  <w:vAlign w:val="center"/>
                  <w:hideMark/>
                </w:tcPr>
                <w:p w14:paraId="163EC8BC" w14:textId="01687534"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3 090 402,46</w:t>
                  </w:r>
                </w:p>
              </w:tc>
            </w:tr>
            <w:tr w:rsidR="007D00E5" w:rsidRPr="007D00E5" w14:paraId="0084F801" w14:textId="77777777" w:rsidTr="00544062">
              <w:trPr>
                <w:trHeight w:val="405"/>
              </w:trPr>
              <w:tc>
                <w:tcPr>
                  <w:tcW w:w="249" w:type="dxa"/>
                  <w:tcBorders>
                    <w:top w:val="nil"/>
                    <w:left w:val="single" w:sz="4" w:space="0" w:color="auto"/>
                    <w:bottom w:val="single" w:sz="4" w:space="0" w:color="auto"/>
                    <w:right w:val="single" w:sz="4" w:space="0" w:color="auto"/>
                  </w:tcBorders>
                  <w:noWrap/>
                  <w:vAlign w:val="center"/>
                  <w:hideMark/>
                </w:tcPr>
                <w:p w14:paraId="160D2634"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1)</w:t>
                  </w:r>
                </w:p>
              </w:tc>
              <w:tc>
                <w:tcPr>
                  <w:tcW w:w="1045" w:type="dxa"/>
                  <w:tcBorders>
                    <w:top w:val="nil"/>
                    <w:left w:val="nil"/>
                    <w:bottom w:val="single" w:sz="4" w:space="0" w:color="auto"/>
                    <w:right w:val="single" w:sz="4" w:space="0" w:color="auto"/>
                  </w:tcBorders>
                  <w:vAlign w:val="center"/>
                  <w:hideMark/>
                </w:tcPr>
                <w:p w14:paraId="117F5C41" w14:textId="77777777" w:rsidR="006C23EC" w:rsidRPr="007D00E5" w:rsidRDefault="006C23EC" w:rsidP="006C23EC">
                  <w:pPr>
                    <w:spacing w:after="0" w:line="240" w:lineRule="auto"/>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grunty</w:t>
                  </w:r>
                </w:p>
              </w:tc>
              <w:tc>
                <w:tcPr>
                  <w:tcW w:w="0" w:type="auto"/>
                  <w:tcBorders>
                    <w:top w:val="nil"/>
                    <w:left w:val="nil"/>
                    <w:bottom w:val="single" w:sz="4" w:space="0" w:color="auto"/>
                    <w:right w:val="single" w:sz="4" w:space="0" w:color="auto"/>
                  </w:tcBorders>
                  <w:noWrap/>
                  <w:vAlign w:val="center"/>
                  <w:hideMark/>
                </w:tcPr>
                <w:p w14:paraId="5E02F3E7"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461 400,00</w:t>
                  </w:r>
                </w:p>
              </w:tc>
              <w:tc>
                <w:tcPr>
                  <w:tcW w:w="459" w:type="dxa"/>
                  <w:tcBorders>
                    <w:top w:val="nil"/>
                    <w:left w:val="nil"/>
                    <w:bottom w:val="single" w:sz="4" w:space="0" w:color="auto"/>
                    <w:right w:val="single" w:sz="4" w:space="0" w:color="auto"/>
                  </w:tcBorders>
                  <w:noWrap/>
                  <w:vAlign w:val="center"/>
                  <w:hideMark/>
                </w:tcPr>
                <w:p w14:paraId="3253D5A6"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553812AD"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63315ABA" w14:textId="77777777" w:rsidR="006C23EC" w:rsidRPr="006D6590" w:rsidRDefault="006C23EC" w:rsidP="006C23EC">
                  <w:pPr>
                    <w:spacing w:after="0" w:line="240" w:lineRule="auto"/>
                    <w:jc w:val="right"/>
                    <w:rPr>
                      <w:rFonts w:ascii="Arial Narrow" w:eastAsia="Times New Roman" w:hAnsi="Arial Narrow" w:cs="Calibri"/>
                      <w:color w:val="000000"/>
                      <w:sz w:val="12"/>
                      <w:szCs w:val="12"/>
                      <w:lang w:eastAsia="pl-PL"/>
                    </w:rPr>
                  </w:pPr>
                  <w:r w:rsidRPr="006D6590">
                    <w:rPr>
                      <w:rFonts w:ascii="Arial Narrow" w:eastAsia="Times New Roman" w:hAnsi="Arial Narrow" w:cs="Calibri"/>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77727047"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7C4A4468"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482F4A48"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594199C6"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44B5372B"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7712383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461 400,00</w:t>
                  </w:r>
                </w:p>
              </w:tc>
              <w:tc>
                <w:tcPr>
                  <w:tcW w:w="872" w:type="dxa"/>
                  <w:tcBorders>
                    <w:top w:val="nil"/>
                    <w:left w:val="nil"/>
                    <w:bottom w:val="single" w:sz="4" w:space="0" w:color="auto"/>
                    <w:right w:val="single" w:sz="4" w:space="0" w:color="auto"/>
                  </w:tcBorders>
                  <w:noWrap/>
                  <w:vAlign w:val="center"/>
                  <w:hideMark/>
                </w:tcPr>
                <w:p w14:paraId="1103C71D"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 </w:t>
                  </w:r>
                </w:p>
              </w:tc>
              <w:tc>
                <w:tcPr>
                  <w:tcW w:w="391" w:type="dxa"/>
                  <w:tcBorders>
                    <w:top w:val="nil"/>
                    <w:left w:val="nil"/>
                    <w:bottom w:val="single" w:sz="4" w:space="0" w:color="auto"/>
                    <w:right w:val="single" w:sz="4" w:space="0" w:color="auto"/>
                  </w:tcBorders>
                  <w:noWrap/>
                  <w:vAlign w:val="center"/>
                  <w:hideMark/>
                </w:tcPr>
                <w:p w14:paraId="58FA664C"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 </w:t>
                  </w:r>
                </w:p>
              </w:tc>
              <w:tc>
                <w:tcPr>
                  <w:tcW w:w="789" w:type="dxa"/>
                  <w:tcBorders>
                    <w:top w:val="nil"/>
                    <w:left w:val="nil"/>
                    <w:bottom w:val="single" w:sz="4" w:space="0" w:color="auto"/>
                    <w:right w:val="single" w:sz="4" w:space="0" w:color="auto"/>
                  </w:tcBorders>
                  <w:noWrap/>
                  <w:vAlign w:val="center"/>
                  <w:hideMark/>
                </w:tcPr>
                <w:p w14:paraId="19334562"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 </w:t>
                  </w:r>
                </w:p>
              </w:tc>
              <w:tc>
                <w:tcPr>
                  <w:tcW w:w="621" w:type="dxa"/>
                  <w:tcBorders>
                    <w:top w:val="nil"/>
                    <w:left w:val="nil"/>
                    <w:bottom w:val="single" w:sz="4" w:space="0" w:color="auto"/>
                    <w:right w:val="single" w:sz="4" w:space="0" w:color="auto"/>
                  </w:tcBorders>
                  <w:noWrap/>
                  <w:vAlign w:val="center"/>
                  <w:hideMark/>
                </w:tcPr>
                <w:p w14:paraId="5EF976EC"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 </w:t>
                  </w:r>
                </w:p>
              </w:tc>
              <w:tc>
                <w:tcPr>
                  <w:tcW w:w="848" w:type="dxa"/>
                  <w:tcBorders>
                    <w:top w:val="nil"/>
                    <w:left w:val="nil"/>
                    <w:bottom w:val="single" w:sz="4" w:space="0" w:color="auto"/>
                    <w:right w:val="single" w:sz="4" w:space="0" w:color="auto"/>
                  </w:tcBorders>
                  <w:noWrap/>
                  <w:vAlign w:val="center"/>
                  <w:hideMark/>
                </w:tcPr>
                <w:p w14:paraId="23543006"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37" w:type="dxa"/>
                  <w:tcBorders>
                    <w:top w:val="nil"/>
                    <w:left w:val="nil"/>
                    <w:bottom w:val="single" w:sz="4" w:space="0" w:color="auto"/>
                    <w:right w:val="single" w:sz="4" w:space="0" w:color="auto"/>
                  </w:tcBorders>
                  <w:noWrap/>
                  <w:vAlign w:val="center"/>
                  <w:hideMark/>
                </w:tcPr>
                <w:p w14:paraId="6FC32C6B"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 </w:t>
                  </w:r>
                </w:p>
              </w:tc>
              <w:tc>
                <w:tcPr>
                  <w:tcW w:w="922" w:type="dxa"/>
                  <w:tcBorders>
                    <w:top w:val="nil"/>
                    <w:left w:val="nil"/>
                    <w:bottom w:val="single" w:sz="4" w:space="0" w:color="auto"/>
                    <w:right w:val="single" w:sz="4" w:space="0" w:color="auto"/>
                  </w:tcBorders>
                  <w:noWrap/>
                  <w:vAlign w:val="center"/>
                  <w:hideMark/>
                </w:tcPr>
                <w:p w14:paraId="2D8C07B3"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70101732"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461 400,00</w:t>
                  </w:r>
                </w:p>
              </w:tc>
              <w:tc>
                <w:tcPr>
                  <w:tcW w:w="827" w:type="dxa"/>
                  <w:tcBorders>
                    <w:top w:val="nil"/>
                    <w:left w:val="nil"/>
                    <w:bottom w:val="single" w:sz="4" w:space="0" w:color="auto"/>
                    <w:right w:val="single" w:sz="4" w:space="0" w:color="auto"/>
                  </w:tcBorders>
                  <w:noWrap/>
                  <w:vAlign w:val="center"/>
                  <w:hideMark/>
                </w:tcPr>
                <w:p w14:paraId="3456C9B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461 400,00</w:t>
                  </w:r>
                </w:p>
              </w:tc>
            </w:tr>
            <w:tr w:rsidR="007D00E5" w:rsidRPr="007D00E5" w14:paraId="48FCFE7C" w14:textId="77777777" w:rsidTr="00544062">
              <w:trPr>
                <w:trHeight w:val="612"/>
              </w:trPr>
              <w:tc>
                <w:tcPr>
                  <w:tcW w:w="249" w:type="dxa"/>
                  <w:tcBorders>
                    <w:top w:val="nil"/>
                    <w:left w:val="single" w:sz="4" w:space="0" w:color="auto"/>
                    <w:bottom w:val="single" w:sz="4" w:space="0" w:color="auto"/>
                    <w:right w:val="single" w:sz="4" w:space="0" w:color="auto"/>
                  </w:tcBorders>
                  <w:noWrap/>
                  <w:vAlign w:val="center"/>
                  <w:hideMark/>
                </w:tcPr>
                <w:p w14:paraId="082AEA46"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2)</w:t>
                  </w:r>
                </w:p>
              </w:tc>
              <w:tc>
                <w:tcPr>
                  <w:tcW w:w="1045" w:type="dxa"/>
                  <w:tcBorders>
                    <w:top w:val="nil"/>
                    <w:left w:val="nil"/>
                    <w:bottom w:val="single" w:sz="4" w:space="0" w:color="auto"/>
                    <w:right w:val="single" w:sz="4" w:space="0" w:color="auto"/>
                  </w:tcBorders>
                  <w:vAlign w:val="center"/>
                  <w:hideMark/>
                </w:tcPr>
                <w:p w14:paraId="716A43D6" w14:textId="77777777" w:rsidR="006C23EC" w:rsidRPr="007D00E5" w:rsidRDefault="006C23EC" w:rsidP="006C23EC">
                  <w:pPr>
                    <w:spacing w:after="0" w:line="240" w:lineRule="auto"/>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budynki, lokale i obiekty inżynierii lądowej i wodnej</w:t>
                  </w:r>
                </w:p>
              </w:tc>
              <w:tc>
                <w:tcPr>
                  <w:tcW w:w="0" w:type="auto"/>
                  <w:tcBorders>
                    <w:top w:val="nil"/>
                    <w:left w:val="nil"/>
                    <w:bottom w:val="single" w:sz="4" w:space="0" w:color="auto"/>
                    <w:right w:val="single" w:sz="4" w:space="0" w:color="auto"/>
                  </w:tcBorders>
                  <w:noWrap/>
                  <w:vAlign w:val="center"/>
                  <w:hideMark/>
                </w:tcPr>
                <w:p w14:paraId="14B96E3B"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5 889 853,75</w:t>
                  </w:r>
                </w:p>
              </w:tc>
              <w:tc>
                <w:tcPr>
                  <w:tcW w:w="459" w:type="dxa"/>
                  <w:tcBorders>
                    <w:top w:val="nil"/>
                    <w:left w:val="nil"/>
                    <w:bottom w:val="single" w:sz="4" w:space="0" w:color="auto"/>
                    <w:right w:val="single" w:sz="4" w:space="0" w:color="auto"/>
                  </w:tcBorders>
                  <w:noWrap/>
                  <w:vAlign w:val="center"/>
                  <w:hideMark/>
                </w:tcPr>
                <w:p w14:paraId="28C68482"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62D6361B"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4EE6A391" w14:textId="77777777" w:rsidR="006C23EC" w:rsidRPr="006D6590" w:rsidRDefault="006C23EC" w:rsidP="006C23EC">
                  <w:pPr>
                    <w:spacing w:after="0" w:line="240" w:lineRule="auto"/>
                    <w:jc w:val="right"/>
                    <w:rPr>
                      <w:rFonts w:ascii="Arial Narrow" w:eastAsia="Times New Roman" w:hAnsi="Arial Narrow" w:cs="Calibri"/>
                      <w:color w:val="000000"/>
                      <w:sz w:val="12"/>
                      <w:szCs w:val="12"/>
                      <w:lang w:eastAsia="pl-PL"/>
                    </w:rPr>
                  </w:pPr>
                  <w:r w:rsidRPr="006D6590">
                    <w:rPr>
                      <w:rFonts w:ascii="Arial Narrow" w:eastAsia="Times New Roman" w:hAnsi="Arial Narrow" w:cs="Calibri"/>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011DD1E3"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7009ADA1"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3E56F43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28E401F4"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4E2BBFE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7F6E386A"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5 889 853,75</w:t>
                  </w:r>
                </w:p>
              </w:tc>
              <w:tc>
                <w:tcPr>
                  <w:tcW w:w="872" w:type="dxa"/>
                  <w:tcBorders>
                    <w:top w:val="nil"/>
                    <w:left w:val="nil"/>
                    <w:bottom w:val="single" w:sz="4" w:space="0" w:color="auto"/>
                    <w:right w:val="single" w:sz="4" w:space="0" w:color="auto"/>
                  </w:tcBorders>
                  <w:noWrap/>
                  <w:vAlign w:val="center"/>
                  <w:hideMark/>
                </w:tcPr>
                <w:p w14:paraId="4277347E" w14:textId="3CFAD940"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3 092 612,21</w:t>
                  </w:r>
                </w:p>
              </w:tc>
              <w:tc>
                <w:tcPr>
                  <w:tcW w:w="391" w:type="dxa"/>
                  <w:tcBorders>
                    <w:top w:val="nil"/>
                    <w:left w:val="nil"/>
                    <w:bottom w:val="single" w:sz="4" w:space="0" w:color="auto"/>
                    <w:right w:val="single" w:sz="4" w:space="0" w:color="auto"/>
                  </w:tcBorders>
                  <w:noWrap/>
                  <w:vAlign w:val="center"/>
                  <w:hideMark/>
                </w:tcPr>
                <w:p w14:paraId="7225948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26BFAED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173 914,08</w:t>
                  </w:r>
                </w:p>
              </w:tc>
              <w:tc>
                <w:tcPr>
                  <w:tcW w:w="621" w:type="dxa"/>
                  <w:tcBorders>
                    <w:top w:val="nil"/>
                    <w:left w:val="nil"/>
                    <w:bottom w:val="single" w:sz="4" w:space="0" w:color="auto"/>
                    <w:right w:val="single" w:sz="4" w:space="0" w:color="auto"/>
                  </w:tcBorders>
                  <w:noWrap/>
                  <w:vAlign w:val="center"/>
                  <w:hideMark/>
                </w:tcPr>
                <w:p w14:paraId="22A3907A"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77EA636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173 914,08</w:t>
                  </w:r>
                </w:p>
              </w:tc>
              <w:tc>
                <w:tcPr>
                  <w:tcW w:w="537" w:type="dxa"/>
                  <w:tcBorders>
                    <w:top w:val="nil"/>
                    <w:left w:val="nil"/>
                    <w:bottom w:val="single" w:sz="4" w:space="0" w:color="auto"/>
                    <w:right w:val="single" w:sz="4" w:space="0" w:color="auto"/>
                  </w:tcBorders>
                  <w:noWrap/>
                  <w:vAlign w:val="center"/>
                  <w:hideMark/>
                </w:tcPr>
                <w:p w14:paraId="75F41A0A"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3097F7AE" w14:textId="5CC71CEB"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3 266 526,29</w:t>
                  </w:r>
                </w:p>
              </w:tc>
              <w:tc>
                <w:tcPr>
                  <w:tcW w:w="0" w:type="auto"/>
                  <w:tcBorders>
                    <w:top w:val="nil"/>
                    <w:left w:val="nil"/>
                    <w:bottom w:val="single" w:sz="4" w:space="0" w:color="auto"/>
                    <w:right w:val="single" w:sz="4" w:space="0" w:color="auto"/>
                  </w:tcBorders>
                  <w:noWrap/>
                  <w:vAlign w:val="center"/>
                  <w:hideMark/>
                </w:tcPr>
                <w:p w14:paraId="5105A667" w14:textId="6D369449"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2 797 241,54</w:t>
                  </w:r>
                </w:p>
              </w:tc>
              <w:tc>
                <w:tcPr>
                  <w:tcW w:w="827" w:type="dxa"/>
                  <w:tcBorders>
                    <w:top w:val="nil"/>
                    <w:left w:val="nil"/>
                    <w:bottom w:val="single" w:sz="4" w:space="0" w:color="auto"/>
                    <w:right w:val="single" w:sz="4" w:space="0" w:color="auto"/>
                  </w:tcBorders>
                  <w:noWrap/>
                  <w:vAlign w:val="center"/>
                  <w:hideMark/>
                </w:tcPr>
                <w:p w14:paraId="60CD8F3D" w14:textId="65D2A165"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2 623 327,46</w:t>
                  </w:r>
                </w:p>
              </w:tc>
            </w:tr>
            <w:tr w:rsidR="007D00E5" w:rsidRPr="007D00E5" w14:paraId="5F5E9397" w14:textId="77777777" w:rsidTr="00544062">
              <w:trPr>
                <w:trHeight w:val="612"/>
              </w:trPr>
              <w:tc>
                <w:tcPr>
                  <w:tcW w:w="249" w:type="dxa"/>
                  <w:tcBorders>
                    <w:top w:val="nil"/>
                    <w:left w:val="single" w:sz="4" w:space="0" w:color="auto"/>
                    <w:bottom w:val="single" w:sz="4" w:space="0" w:color="auto"/>
                    <w:right w:val="single" w:sz="4" w:space="0" w:color="auto"/>
                  </w:tcBorders>
                  <w:noWrap/>
                  <w:vAlign w:val="center"/>
                  <w:hideMark/>
                </w:tcPr>
                <w:p w14:paraId="2CBBC76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3)</w:t>
                  </w:r>
                </w:p>
              </w:tc>
              <w:tc>
                <w:tcPr>
                  <w:tcW w:w="1045" w:type="dxa"/>
                  <w:tcBorders>
                    <w:top w:val="nil"/>
                    <w:left w:val="nil"/>
                    <w:bottom w:val="single" w:sz="4" w:space="0" w:color="auto"/>
                    <w:right w:val="single" w:sz="4" w:space="0" w:color="auto"/>
                  </w:tcBorders>
                  <w:vAlign w:val="center"/>
                  <w:hideMark/>
                </w:tcPr>
                <w:p w14:paraId="3ADD3A32" w14:textId="77777777" w:rsidR="006C23EC" w:rsidRPr="007D00E5" w:rsidRDefault="006C23EC" w:rsidP="006C23EC">
                  <w:pPr>
                    <w:spacing w:after="0" w:line="240" w:lineRule="auto"/>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urządzenia techniczne i maszyny</w:t>
                  </w:r>
                </w:p>
              </w:tc>
              <w:tc>
                <w:tcPr>
                  <w:tcW w:w="0" w:type="auto"/>
                  <w:tcBorders>
                    <w:top w:val="nil"/>
                    <w:left w:val="nil"/>
                    <w:bottom w:val="single" w:sz="4" w:space="0" w:color="auto"/>
                    <w:right w:val="single" w:sz="4" w:space="0" w:color="auto"/>
                  </w:tcBorders>
                  <w:noWrap/>
                  <w:vAlign w:val="center"/>
                  <w:hideMark/>
                </w:tcPr>
                <w:p w14:paraId="540E551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236 499,74</w:t>
                  </w:r>
                </w:p>
              </w:tc>
              <w:tc>
                <w:tcPr>
                  <w:tcW w:w="459" w:type="dxa"/>
                  <w:tcBorders>
                    <w:top w:val="nil"/>
                    <w:left w:val="nil"/>
                    <w:bottom w:val="single" w:sz="4" w:space="0" w:color="auto"/>
                    <w:right w:val="single" w:sz="4" w:space="0" w:color="auto"/>
                  </w:tcBorders>
                  <w:noWrap/>
                  <w:vAlign w:val="center"/>
                  <w:hideMark/>
                </w:tcPr>
                <w:p w14:paraId="44E37E1E"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666A1D2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0FEDAD0D" w14:textId="77777777" w:rsidR="006C23EC" w:rsidRPr="006D6590" w:rsidRDefault="006C23EC" w:rsidP="006C23EC">
                  <w:pPr>
                    <w:spacing w:after="0" w:line="240" w:lineRule="auto"/>
                    <w:jc w:val="right"/>
                    <w:rPr>
                      <w:rFonts w:ascii="Arial Narrow" w:eastAsia="Times New Roman" w:hAnsi="Arial Narrow" w:cs="Calibri"/>
                      <w:color w:val="000000"/>
                      <w:sz w:val="12"/>
                      <w:szCs w:val="12"/>
                      <w:lang w:eastAsia="pl-PL"/>
                    </w:rPr>
                  </w:pPr>
                  <w:r w:rsidRPr="006D6590">
                    <w:rPr>
                      <w:rFonts w:ascii="Arial Narrow" w:eastAsia="Times New Roman" w:hAnsi="Arial Narrow" w:cs="Calibri"/>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2C148891"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2AC7E90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5243C74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0D3FB8F2"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60A6D57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7B57D68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236 499,74</w:t>
                  </w:r>
                </w:p>
              </w:tc>
              <w:tc>
                <w:tcPr>
                  <w:tcW w:w="872" w:type="dxa"/>
                  <w:tcBorders>
                    <w:top w:val="nil"/>
                    <w:left w:val="nil"/>
                    <w:bottom w:val="single" w:sz="4" w:space="0" w:color="auto"/>
                    <w:right w:val="single" w:sz="4" w:space="0" w:color="auto"/>
                  </w:tcBorders>
                  <w:noWrap/>
                  <w:vAlign w:val="center"/>
                  <w:hideMark/>
                </w:tcPr>
                <w:p w14:paraId="73CDB788" w14:textId="6DA5C0A9"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226 624,74</w:t>
                  </w:r>
                </w:p>
              </w:tc>
              <w:tc>
                <w:tcPr>
                  <w:tcW w:w="391" w:type="dxa"/>
                  <w:tcBorders>
                    <w:top w:val="nil"/>
                    <w:left w:val="nil"/>
                    <w:bottom w:val="single" w:sz="4" w:space="0" w:color="auto"/>
                    <w:right w:val="single" w:sz="4" w:space="0" w:color="auto"/>
                  </w:tcBorders>
                  <w:noWrap/>
                  <w:vAlign w:val="center"/>
                  <w:hideMark/>
                </w:tcPr>
                <w:p w14:paraId="3606C921"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3D5EC00B"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4 200,00</w:t>
                  </w:r>
                </w:p>
              </w:tc>
              <w:tc>
                <w:tcPr>
                  <w:tcW w:w="621" w:type="dxa"/>
                  <w:tcBorders>
                    <w:top w:val="nil"/>
                    <w:left w:val="nil"/>
                    <w:bottom w:val="single" w:sz="4" w:space="0" w:color="auto"/>
                    <w:right w:val="single" w:sz="4" w:space="0" w:color="auto"/>
                  </w:tcBorders>
                  <w:noWrap/>
                  <w:vAlign w:val="center"/>
                  <w:hideMark/>
                </w:tcPr>
                <w:p w14:paraId="76FA43A7"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7A025FD1"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4 200,00</w:t>
                  </w:r>
                </w:p>
              </w:tc>
              <w:tc>
                <w:tcPr>
                  <w:tcW w:w="537" w:type="dxa"/>
                  <w:tcBorders>
                    <w:top w:val="nil"/>
                    <w:left w:val="nil"/>
                    <w:bottom w:val="single" w:sz="4" w:space="0" w:color="auto"/>
                    <w:right w:val="single" w:sz="4" w:space="0" w:color="auto"/>
                  </w:tcBorders>
                  <w:noWrap/>
                  <w:vAlign w:val="center"/>
                  <w:hideMark/>
                </w:tcPr>
                <w:p w14:paraId="4822C26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78888510" w14:textId="4DF0A489"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230 824,74</w:t>
                  </w:r>
                </w:p>
              </w:tc>
              <w:tc>
                <w:tcPr>
                  <w:tcW w:w="0" w:type="auto"/>
                  <w:tcBorders>
                    <w:top w:val="nil"/>
                    <w:left w:val="nil"/>
                    <w:bottom w:val="single" w:sz="4" w:space="0" w:color="auto"/>
                    <w:right w:val="single" w:sz="4" w:space="0" w:color="auto"/>
                  </w:tcBorders>
                  <w:noWrap/>
                  <w:vAlign w:val="center"/>
                  <w:hideMark/>
                </w:tcPr>
                <w:p w14:paraId="2865B7FE" w14:textId="3D78A6B3"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9 875,00</w:t>
                  </w:r>
                </w:p>
              </w:tc>
              <w:tc>
                <w:tcPr>
                  <w:tcW w:w="827" w:type="dxa"/>
                  <w:tcBorders>
                    <w:top w:val="nil"/>
                    <w:left w:val="nil"/>
                    <w:bottom w:val="single" w:sz="4" w:space="0" w:color="auto"/>
                    <w:right w:val="single" w:sz="4" w:space="0" w:color="auto"/>
                  </w:tcBorders>
                  <w:noWrap/>
                  <w:vAlign w:val="center"/>
                  <w:hideMark/>
                </w:tcPr>
                <w:p w14:paraId="61504471" w14:textId="5F1BDE42" w:rsidR="006C23EC" w:rsidRPr="007D00E5" w:rsidRDefault="00B578C9" w:rsidP="006C23EC">
                  <w:pPr>
                    <w:spacing w:after="0" w:line="240" w:lineRule="auto"/>
                    <w:jc w:val="right"/>
                    <w:rPr>
                      <w:rFonts w:ascii="Arial Narrow" w:eastAsia="Times New Roman" w:hAnsi="Arial Narrow" w:cs="Calibri"/>
                      <w:color w:val="000000"/>
                      <w:sz w:val="14"/>
                      <w:szCs w:val="14"/>
                      <w:lang w:eastAsia="pl-PL"/>
                    </w:rPr>
                  </w:pPr>
                  <w:r>
                    <w:rPr>
                      <w:rFonts w:ascii="Arial Narrow" w:eastAsia="Times New Roman" w:hAnsi="Arial Narrow" w:cs="Calibri"/>
                      <w:color w:val="000000"/>
                      <w:sz w:val="14"/>
                      <w:szCs w:val="14"/>
                      <w:lang w:eastAsia="pl-PL"/>
                    </w:rPr>
                    <w:t>5 675,00</w:t>
                  </w:r>
                </w:p>
              </w:tc>
            </w:tr>
            <w:tr w:rsidR="007D00E5" w:rsidRPr="007D00E5" w14:paraId="4A5A5B9C" w14:textId="77777777" w:rsidTr="00544062">
              <w:trPr>
                <w:trHeight w:val="276"/>
              </w:trPr>
              <w:tc>
                <w:tcPr>
                  <w:tcW w:w="249" w:type="dxa"/>
                  <w:tcBorders>
                    <w:top w:val="nil"/>
                    <w:left w:val="single" w:sz="4" w:space="0" w:color="auto"/>
                    <w:bottom w:val="single" w:sz="4" w:space="0" w:color="auto"/>
                    <w:right w:val="single" w:sz="4" w:space="0" w:color="auto"/>
                  </w:tcBorders>
                  <w:noWrap/>
                  <w:vAlign w:val="center"/>
                  <w:hideMark/>
                </w:tcPr>
                <w:p w14:paraId="4A51015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w:t>
                  </w:r>
                </w:p>
              </w:tc>
              <w:tc>
                <w:tcPr>
                  <w:tcW w:w="1045" w:type="dxa"/>
                  <w:tcBorders>
                    <w:top w:val="nil"/>
                    <w:left w:val="nil"/>
                    <w:bottom w:val="single" w:sz="4" w:space="0" w:color="auto"/>
                    <w:right w:val="single" w:sz="4" w:space="0" w:color="auto"/>
                  </w:tcBorders>
                  <w:vAlign w:val="center"/>
                  <w:hideMark/>
                </w:tcPr>
                <w:p w14:paraId="20AC44C3" w14:textId="77777777" w:rsidR="006C23EC" w:rsidRPr="007D00E5" w:rsidRDefault="006C23EC" w:rsidP="006C23EC">
                  <w:pPr>
                    <w:spacing w:after="0" w:line="240" w:lineRule="auto"/>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środki transportu</w:t>
                  </w:r>
                </w:p>
              </w:tc>
              <w:tc>
                <w:tcPr>
                  <w:tcW w:w="0" w:type="auto"/>
                  <w:tcBorders>
                    <w:top w:val="nil"/>
                    <w:left w:val="nil"/>
                    <w:bottom w:val="single" w:sz="4" w:space="0" w:color="auto"/>
                    <w:right w:val="single" w:sz="4" w:space="0" w:color="auto"/>
                  </w:tcBorders>
                  <w:noWrap/>
                  <w:vAlign w:val="center"/>
                  <w:hideMark/>
                </w:tcPr>
                <w:p w14:paraId="0BD6B97F"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459" w:type="dxa"/>
                  <w:tcBorders>
                    <w:top w:val="nil"/>
                    <w:left w:val="nil"/>
                    <w:bottom w:val="single" w:sz="4" w:space="0" w:color="auto"/>
                    <w:right w:val="single" w:sz="4" w:space="0" w:color="auto"/>
                  </w:tcBorders>
                  <w:noWrap/>
                  <w:vAlign w:val="center"/>
                  <w:hideMark/>
                </w:tcPr>
                <w:p w14:paraId="4796E9A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038E34BD"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0189E951" w14:textId="77777777" w:rsidR="006C23EC" w:rsidRPr="006D6590" w:rsidRDefault="006C23EC" w:rsidP="006C23EC">
                  <w:pPr>
                    <w:spacing w:after="0" w:line="240" w:lineRule="auto"/>
                    <w:jc w:val="right"/>
                    <w:rPr>
                      <w:rFonts w:ascii="Arial Narrow" w:eastAsia="Times New Roman" w:hAnsi="Arial Narrow" w:cs="Calibri"/>
                      <w:color w:val="000000"/>
                      <w:sz w:val="12"/>
                      <w:szCs w:val="12"/>
                      <w:lang w:eastAsia="pl-PL"/>
                    </w:rPr>
                  </w:pPr>
                  <w:r w:rsidRPr="006D6590">
                    <w:rPr>
                      <w:rFonts w:ascii="Arial Narrow" w:eastAsia="Times New Roman" w:hAnsi="Arial Narrow" w:cs="Calibri"/>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22C873D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7F0FAC8E"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175BBF8F"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35D0857A"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1B9D5976"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7E7DC9EC"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72" w:type="dxa"/>
                  <w:tcBorders>
                    <w:top w:val="nil"/>
                    <w:left w:val="nil"/>
                    <w:bottom w:val="single" w:sz="4" w:space="0" w:color="auto"/>
                    <w:right w:val="single" w:sz="4" w:space="0" w:color="auto"/>
                  </w:tcBorders>
                  <w:noWrap/>
                  <w:vAlign w:val="center"/>
                  <w:hideMark/>
                </w:tcPr>
                <w:p w14:paraId="3AB85C92"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391" w:type="dxa"/>
                  <w:tcBorders>
                    <w:top w:val="nil"/>
                    <w:left w:val="nil"/>
                    <w:bottom w:val="single" w:sz="4" w:space="0" w:color="auto"/>
                    <w:right w:val="single" w:sz="4" w:space="0" w:color="auto"/>
                  </w:tcBorders>
                  <w:noWrap/>
                  <w:vAlign w:val="center"/>
                  <w:hideMark/>
                </w:tcPr>
                <w:p w14:paraId="4DC40E0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755A0258"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621" w:type="dxa"/>
                  <w:tcBorders>
                    <w:top w:val="nil"/>
                    <w:left w:val="nil"/>
                    <w:bottom w:val="single" w:sz="4" w:space="0" w:color="auto"/>
                    <w:right w:val="single" w:sz="4" w:space="0" w:color="auto"/>
                  </w:tcBorders>
                  <w:noWrap/>
                  <w:vAlign w:val="center"/>
                  <w:hideMark/>
                </w:tcPr>
                <w:p w14:paraId="1918DCD6"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69DCC2C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37" w:type="dxa"/>
                  <w:tcBorders>
                    <w:top w:val="nil"/>
                    <w:left w:val="nil"/>
                    <w:bottom w:val="single" w:sz="4" w:space="0" w:color="auto"/>
                    <w:right w:val="single" w:sz="4" w:space="0" w:color="auto"/>
                  </w:tcBorders>
                  <w:noWrap/>
                  <w:vAlign w:val="center"/>
                  <w:hideMark/>
                </w:tcPr>
                <w:p w14:paraId="552824C1"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0016D443"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06D9C12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27" w:type="dxa"/>
                  <w:tcBorders>
                    <w:top w:val="nil"/>
                    <w:left w:val="nil"/>
                    <w:bottom w:val="single" w:sz="4" w:space="0" w:color="auto"/>
                    <w:right w:val="single" w:sz="4" w:space="0" w:color="auto"/>
                  </w:tcBorders>
                  <w:noWrap/>
                  <w:vAlign w:val="center"/>
                  <w:hideMark/>
                </w:tcPr>
                <w:p w14:paraId="6AD361C3"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r>
            <w:tr w:rsidR="007D00E5" w:rsidRPr="007D00E5" w14:paraId="32DC6B2D" w14:textId="77777777" w:rsidTr="00544062">
              <w:trPr>
                <w:trHeight w:val="276"/>
              </w:trPr>
              <w:tc>
                <w:tcPr>
                  <w:tcW w:w="249" w:type="dxa"/>
                  <w:tcBorders>
                    <w:top w:val="nil"/>
                    <w:left w:val="single" w:sz="4" w:space="0" w:color="auto"/>
                    <w:bottom w:val="single" w:sz="4" w:space="0" w:color="auto"/>
                    <w:right w:val="single" w:sz="4" w:space="0" w:color="auto"/>
                  </w:tcBorders>
                  <w:noWrap/>
                  <w:vAlign w:val="center"/>
                  <w:hideMark/>
                </w:tcPr>
                <w:p w14:paraId="07795B5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5)</w:t>
                  </w:r>
                </w:p>
              </w:tc>
              <w:tc>
                <w:tcPr>
                  <w:tcW w:w="1045" w:type="dxa"/>
                  <w:tcBorders>
                    <w:top w:val="nil"/>
                    <w:left w:val="nil"/>
                    <w:bottom w:val="single" w:sz="4" w:space="0" w:color="auto"/>
                    <w:right w:val="single" w:sz="4" w:space="0" w:color="auto"/>
                  </w:tcBorders>
                  <w:vAlign w:val="center"/>
                  <w:hideMark/>
                </w:tcPr>
                <w:p w14:paraId="55B2197B" w14:textId="77777777" w:rsidR="006C23EC" w:rsidRPr="007D00E5" w:rsidRDefault="006C23EC" w:rsidP="006C23EC">
                  <w:pPr>
                    <w:spacing w:after="0" w:line="240" w:lineRule="auto"/>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inne środki trwałe</w:t>
                  </w:r>
                </w:p>
              </w:tc>
              <w:tc>
                <w:tcPr>
                  <w:tcW w:w="0" w:type="auto"/>
                  <w:tcBorders>
                    <w:top w:val="nil"/>
                    <w:left w:val="nil"/>
                    <w:bottom w:val="single" w:sz="4" w:space="0" w:color="auto"/>
                    <w:right w:val="single" w:sz="4" w:space="0" w:color="auto"/>
                  </w:tcBorders>
                  <w:noWrap/>
                  <w:vAlign w:val="center"/>
                  <w:hideMark/>
                </w:tcPr>
                <w:p w14:paraId="2C886DB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4 218,82</w:t>
                  </w:r>
                </w:p>
              </w:tc>
              <w:tc>
                <w:tcPr>
                  <w:tcW w:w="459" w:type="dxa"/>
                  <w:tcBorders>
                    <w:top w:val="nil"/>
                    <w:left w:val="nil"/>
                    <w:bottom w:val="single" w:sz="4" w:space="0" w:color="auto"/>
                    <w:right w:val="single" w:sz="4" w:space="0" w:color="auto"/>
                  </w:tcBorders>
                  <w:noWrap/>
                  <w:vAlign w:val="center"/>
                  <w:hideMark/>
                </w:tcPr>
                <w:p w14:paraId="08E5936C"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6A554177"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63BD6B03" w14:textId="77777777" w:rsidR="006C23EC" w:rsidRPr="006D6590" w:rsidRDefault="006C23EC" w:rsidP="006C23EC">
                  <w:pPr>
                    <w:spacing w:after="0" w:line="240" w:lineRule="auto"/>
                    <w:jc w:val="right"/>
                    <w:rPr>
                      <w:rFonts w:ascii="Arial Narrow" w:eastAsia="Times New Roman" w:hAnsi="Arial Narrow" w:cs="Calibri"/>
                      <w:color w:val="000000"/>
                      <w:sz w:val="12"/>
                      <w:szCs w:val="12"/>
                      <w:lang w:eastAsia="pl-PL"/>
                    </w:rPr>
                  </w:pPr>
                  <w:r w:rsidRPr="006D6590">
                    <w:rPr>
                      <w:rFonts w:ascii="Arial Narrow" w:eastAsia="Times New Roman" w:hAnsi="Arial Narrow" w:cs="Calibri"/>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74BF4ACC"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69A565D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09412BD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243BDA88"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273B5DD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2B8AB634"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4 218,82</w:t>
                  </w:r>
                </w:p>
              </w:tc>
              <w:tc>
                <w:tcPr>
                  <w:tcW w:w="872" w:type="dxa"/>
                  <w:tcBorders>
                    <w:top w:val="nil"/>
                    <w:left w:val="nil"/>
                    <w:bottom w:val="single" w:sz="4" w:space="0" w:color="auto"/>
                    <w:right w:val="single" w:sz="4" w:space="0" w:color="auto"/>
                  </w:tcBorders>
                  <w:noWrap/>
                  <w:vAlign w:val="center"/>
                  <w:hideMark/>
                </w:tcPr>
                <w:p w14:paraId="037CA0DE"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4 218,82</w:t>
                  </w:r>
                </w:p>
              </w:tc>
              <w:tc>
                <w:tcPr>
                  <w:tcW w:w="391" w:type="dxa"/>
                  <w:tcBorders>
                    <w:top w:val="nil"/>
                    <w:left w:val="nil"/>
                    <w:bottom w:val="single" w:sz="4" w:space="0" w:color="auto"/>
                    <w:right w:val="single" w:sz="4" w:space="0" w:color="auto"/>
                  </w:tcBorders>
                  <w:noWrap/>
                  <w:vAlign w:val="center"/>
                  <w:hideMark/>
                </w:tcPr>
                <w:p w14:paraId="5F340C0F"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6ABF8A1E"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621" w:type="dxa"/>
                  <w:tcBorders>
                    <w:top w:val="nil"/>
                    <w:left w:val="nil"/>
                    <w:bottom w:val="single" w:sz="4" w:space="0" w:color="auto"/>
                    <w:right w:val="single" w:sz="4" w:space="0" w:color="auto"/>
                  </w:tcBorders>
                  <w:noWrap/>
                  <w:vAlign w:val="center"/>
                  <w:hideMark/>
                </w:tcPr>
                <w:p w14:paraId="5122859A"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346C4395"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537" w:type="dxa"/>
                  <w:tcBorders>
                    <w:top w:val="nil"/>
                    <w:left w:val="nil"/>
                    <w:bottom w:val="single" w:sz="4" w:space="0" w:color="auto"/>
                    <w:right w:val="single" w:sz="4" w:space="0" w:color="auto"/>
                  </w:tcBorders>
                  <w:noWrap/>
                  <w:vAlign w:val="center"/>
                  <w:hideMark/>
                </w:tcPr>
                <w:p w14:paraId="38696E6A"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3FBDB6B1"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4 218,82</w:t>
                  </w:r>
                </w:p>
              </w:tc>
              <w:tc>
                <w:tcPr>
                  <w:tcW w:w="0" w:type="auto"/>
                  <w:tcBorders>
                    <w:top w:val="nil"/>
                    <w:left w:val="nil"/>
                    <w:bottom w:val="single" w:sz="4" w:space="0" w:color="auto"/>
                    <w:right w:val="single" w:sz="4" w:space="0" w:color="auto"/>
                  </w:tcBorders>
                  <w:noWrap/>
                  <w:vAlign w:val="center"/>
                  <w:hideMark/>
                </w:tcPr>
                <w:p w14:paraId="6C168A80"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c>
                <w:tcPr>
                  <w:tcW w:w="827" w:type="dxa"/>
                  <w:tcBorders>
                    <w:top w:val="nil"/>
                    <w:left w:val="nil"/>
                    <w:bottom w:val="single" w:sz="4" w:space="0" w:color="auto"/>
                    <w:right w:val="single" w:sz="4" w:space="0" w:color="auto"/>
                  </w:tcBorders>
                  <w:noWrap/>
                  <w:vAlign w:val="center"/>
                  <w:hideMark/>
                </w:tcPr>
                <w:p w14:paraId="37CC4769" w14:textId="77777777" w:rsidR="006C23EC" w:rsidRPr="007D00E5" w:rsidRDefault="006C23EC" w:rsidP="006C23EC">
                  <w:pPr>
                    <w:spacing w:after="0" w:line="240" w:lineRule="auto"/>
                    <w:jc w:val="right"/>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0,00</w:t>
                  </w:r>
                </w:p>
              </w:tc>
            </w:tr>
            <w:tr w:rsidR="007D00E5" w:rsidRPr="007D00E5" w14:paraId="62C4C177" w14:textId="77777777" w:rsidTr="00544062">
              <w:trPr>
                <w:trHeight w:val="288"/>
              </w:trPr>
              <w:tc>
                <w:tcPr>
                  <w:tcW w:w="249" w:type="dxa"/>
                  <w:tcBorders>
                    <w:top w:val="nil"/>
                    <w:left w:val="single" w:sz="4" w:space="0" w:color="auto"/>
                    <w:bottom w:val="single" w:sz="4" w:space="0" w:color="auto"/>
                    <w:right w:val="single" w:sz="4" w:space="0" w:color="auto"/>
                  </w:tcBorders>
                  <w:noWrap/>
                  <w:vAlign w:val="center"/>
                  <w:hideMark/>
                </w:tcPr>
                <w:p w14:paraId="4D0863A1" w14:textId="77777777" w:rsidR="006C23EC" w:rsidRPr="007D00E5" w:rsidRDefault="006C23EC" w:rsidP="006C23EC">
                  <w:pPr>
                    <w:spacing w:after="0" w:line="240" w:lineRule="auto"/>
                    <w:jc w:val="right"/>
                    <w:rPr>
                      <w:rFonts w:ascii="Arial Narrow" w:eastAsia="Times New Roman" w:hAnsi="Arial Narrow" w:cs="Calibri"/>
                      <w:b/>
                      <w:bCs/>
                      <w:i/>
                      <w:iCs/>
                      <w:color w:val="000000"/>
                      <w:sz w:val="14"/>
                      <w:szCs w:val="14"/>
                      <w:lang w:eastAsia="pl-PL"/>
                    </w:rPr>
                  </w:pPr>
                  <w:r w:rsidRPr="007D00E5">
                    <w:rPr>
                      <w:rFonts w:ascii="Arial Narrow" w:eastAsia="Times New Roman" w:hAnsi="Arial Narrow" w:cs="Calibri"/>
                      <w:b/>
                      <w:bCs/>
                      <w:i/>
                      <w:iCs/>
                      <w:color w:val="000000"/>
                      <w:sz w:val="14"/>
                      <w:szCs w:val="14"/>
                      <w:lang w:eastAsia="pl-PL"/>
                    </w:rPr>
                    <w:t> </w:t>
                  </w:r>
                </w:p>
              </w:tc>
              <w:tc>
                <w:tcPr>
                  <w:tcW w:w="1045" w:type="dxa"/>
                  <w:tcBorders>
                    <w:top w:val="nil"/>
                    <w:left w:val="nil"/>
                    <w:bottom w:val="single" w:sz="4" w:space="0" w:color="auto"/>
                    <w:right w:val="single" w:sz="4" w:space="0" w:color="auto"/>
                  </w:tcBorders>
                  <w:noWrap/>
                  <w:vAlign w:val="bottom"/>
                  <w:hideMark/>
                </w:tcPr>
                <w:p w14:paraId="55E2FFDD" w14:textId="77777777" w:rsidR="006C23EC" w:rsidRPr="007D00E5" w:rsidRDefault="006C23EC" w:rsidP="006C23EC">
                  <w:pPr>
                    <w:spacing w:after="0" w:line="240" w:lineRule="auto"/>
                    <w:rPr>
                      <w:rFonts w:ascii="Arial Narrow" w:eastAsia="Times New Roman" w:hAnsi="Arial Narrow" w:cs="Calibri"/>
                      <w:color w:val="000000"/>
                      <w:sz w:val="14"/>
                      <w:szCs w:val="14"/>
                      <w:lang w:eastAsia="pl-PL"/>
                    </w:rPr>
                  </w:pPr>
                  <w:r w:rsidRPr="007D00E5">
                    <w:rPr>
                      <w:rFonts w:ascii="Arial Narrow" w:eastAsia="Times New Roman" w:hAnsi="Arial Narrow" w:cs="Calibri"/>
                      <w:color w:val="000000"/>
                      <w:sz w:val="14"/>
                      <w:szCs w:val="14"/>
                      <w:lang w:eastAsia="pl-PL"/>
                    </w:rPr>
                    <w:t> </w:t>
                  </w:r>
                </w:p>
              </w:tc>
              <w:tc>
                <w:tcPr>
                  <w:tcW w:w="0" w:type="auto"/>
                  <w:tcBorders>
                    <w:top w:val="nil"/>
                    <w:left w:val="nil"/>
                    <w:bottom w:val="single" w:sz="4" w:space="0" w:color="auto"/>
                    <w:right w:val="single" w:sz="4" w:space="0" w:color="auto"/>
                  </w:tcBorders>
                  <w:noWrap/>
                  <w:vAlign w:val="center"/>
                  <w:hideMark/>
                </w:tcPr>
                <w:p w14:paraId="007E9C1A" w14:textId="22BFE0B9"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6</w:t>
                  </w:r>
                  <w:r w:rsidR="00275306">
                    <w:rPr>
                      <w:rFonts w:ascii="Arial Narrow" w:eastAsia="Times New Roman" w:hAnsi="Arial Narrow" w:cs="Calibri"/>
                      <w:b/>
                      <w:bCs/>
                      <w:color w:val="000000"/>
                      <w:sz w:val="14"/>
                      <w:szCs w:val="14"/>
                      <w:lang w:eastAsia="pl-PL"/>
                    </w:rPr>
                    <w:t> 607 344,17</w:t>
                  </w:r>
                </w:p>
              </w:tc>
              <w:tc>
                <w:tcPr>
                  <w:tcW w:w="459" w:type="dxa"/>
                  <w:tcBorders>
                    <w:top w:val="nil"/>
                    <w:left w:val="nil"/>
                    <w:bottom w:val="single" w:sz="4" w:space="0" w:color="auto"/>
                    <w:right w:val="single" w:sz="4" w:space="0" w:color="auto"/>
                  </w:tcBorders>
                  <w:noWrap/>
                  <w:vAlign w:val="center"/>
                  <w:hideMark/>
                </w:tcPr>
                <w:p w14:paraId="14374A9E"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28365995" w14:textId="03560773"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4817615D" w14:textId="77777777" w:rsidR="006C23EC" w:rsidRPr="006D6590" w:rsidRDefault="006C23EC" w:rsidP="006C23EC">
                  <w:pPr>
                    <w:spacing w:after="0" w:line="240" w:lineRule="auto"/>
                    <w:jc w:val="right"/>
                    <w:rPr>
                      <w:rFonts w:ascii="Arial Narrow" w:eastAsia="Times New Roman" w:hAnsi="Arial Narrow" w:cs="Calibri"/>
                      <w:b/>
                      <w:bCs/>
                      <w:color w:val="000000"/>
                      <w:sz w:val="12"/>
                      <w:szCs w:val="12"/>
                      <w:lang w:eastAsia="pl-PL"/>
                    </w:rPr>
                  </w:pPr>
                  <w:r w:rsidRPr="006D6590">
                    <w:rPr>
                      <w:rFonts w:ascii="Arial Narrow" w:eastAsia="Times New Roman" w:hAnsi="Arial Narrow" w:cs="Calibri"/>
                      <w:b/>
                      <w:bCs/>
                      <w:color w:val="000000"/>
                      <w:sz w:val="12"/>
                      <w:szCs w:val="12"/>
                      <w:lang w:eastAsia="pl-PL"/>
                    </w:rPr>
                    <w:t>0,00</w:t>
                  </w:r>
                </w:p>
              </w:tc>
              <w:tc>
                <w:tcPr>
                  <w:tcW w:w="0" w:type="auto"/>
                  <w:tcBorders>
                    <w:top w:val="nil"/>
                    <w:left w:val="nil"/>
                    <w:bottom w:val="single" w:sz="4" w:space="0" w:color="auto"/>
                    <w:right w:val="single" w:sz="4" w:space="0" w:color="auto"/>
                  </w:tcBorders>
                  <w:noWrap/>
                  <w:vAlign w:val="center"/>
                  <w:hideMark/>
                </w:tcPr>
                <w:p w14:paraId="43FEFFC5" w14:textId="6BDDD29A"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0" w:type="auto"/>
                  <w:tcBorders>
                    <w:top w:val="nil"/>
                    <w:left w:val="nil"/>
                    <w:bottom w:val="single" w:sz="4" w:space="0" w:color="auto"/>
                    <w:right w:val="single" w:sz="4" w:space="0" w:color="auto"/>
                  </w:tcBorders>
                  <w:noWrap/>
                  <w:vAlign w:val="center"/>
                  <w:hideMark/>
                </w:tcPr>
                <w:p w14:paraId="28A6F598"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558" w:type="dxa"/>
                  <w:tcBorders>
                    <w:top w:val="nil"/>
                    <w:left w:val="nil"/>
                    <w:bottom w:val="single" w:sz="4" w:space="0" w:color="auto"/>
                    <w:right w:val="single" w:sz="4" w:space="0" w:color="auto"/>
                  </w:tcBorders>
                  <w:noWrap/>
                  <w:vAlign w:val="center"/>
                  <w:hideMark/>
                </w:tcPr>
                <w:p w14:paraId="28289792"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584" w:type="dxa"/>
                  <w:tcBorders>
                    <w:top w:val="nil"/>
                    <w:left w:val="nil"/>
                    <w:bottom w:val="single" w:sz="4" w:space="0" w:color="auto"/>
                    <w:right w:val="single" w:sz="4" w:space="0" w:color="auto"/>
                  </w:tcBorders>
                  <w:noWrap/>
                  <w:vAlign w:val="center"/>
                  <w:hideMark/>
                </w:tcPr>
                <w:p w14:paraId="384B7D3A"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971" w:type="dxa"/>
                  <w:tcBorders>
                    <w:top w:val="nil"/>
                    <w:left w:val="nil"/>
                    <w:bottom w:val="single" w:sz="4" w:space="0" w:color="auto"/>
                    <w:right w:val="single" w:sz="4" w:space="0" w:color="auto"/>
                  </w:tcBorders>
                  <w:noWrap/>
                  <w:vAlign w:val="center"/>
                  <w:hideMark/>
                </w:tcPr>
                <w:p w14:paraId="430FF4F5"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1008" w:type="dxa"/>
                  <w:tcBorders>
                    <w:top w:val="nil"/>
                    <w:left w:val="nil"/>
                    <w:bottom w:val="single" w:sz="4" w:space="0" w:color="auto"/>
                    <w:right w:val="single" w:sz="4" w:space="0" w:color="auto"/>
                  </w:tcBorders>
                  <w:noWrap/>
                  <w:vAlign w:val="center"/>
                  <w:hideMark/>
                </w:tcPr>
                <w:p w14:paraId="56354181" w14:textId="70D81D01" w:rsidR="006C23EC" w:rsidRPr="007D00E5" w:rsidRDefault="00BA14E8"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6 607 344,17</w:t>
                  </w:r>
                </w:p>
              </w:tc>
              <w:tc>
                <w:tcPr>
                  <w:tcW w:w="872" w:type="dxa"/>
                  <w:tcBorders>
                    <w:top w:val="nil"/>
                    <w:left w:val="nil"/>
                    <w:bottom w:val="single" w:sz="4" w:space="0" w:color="auto"/>
                    <w:right w:val="single" w:sz="4" w:space="0" w:color="auto"/>
                  </w:tcBorders>
                  <w:noWrap/>
                  <w:vAlign w:val="center"/>
                  <w:hideMark/>
                </w:tcPr>
                <w:p w14:paraId="541EDE49" w14:textId="1158E614"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3 338 827,63</w:t>
                  </w:r>
                </w:p>
              </w:tc>
              <w:tc>
                <w:tcPr>
                  <w:tcW w:w="391" w:type="dxa"/>
                  <w:tcBorders>
                    <w:top w:val="nil"/>
                    <w:left w:val="nil"/>
                    <w:bottom w:val="single" w:sz="4" w:space="0" w:color="auto"/>
                    <w:right w:val="single" w:sz="4" w:space="0" w:color="auto"/>
                  </w:tcBorders>
                  <w:noWrap/>
                  <w:vAlign w:val="center"/>
                  <w:hideMark/>
                </w:tcPr>
                <w:p w14:paraId="3F4269FD"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789" w:type="dxa"/>
                  <w:tcBorders>
                    <w:top w:val="nil"/>
                    <w:left w:val="nil"/>
                    <w:bottom w:val="single" w:sz="4" w:space="0" w:color="auto"/>
                    <w:right w:val="single" w:sz="4" w:space="0" w:color="auto"/>
                  </w:tcBorders>
                  <w:noWrap/>
                  <w:vAlign w:val="center"/>
                  <w:hideMark/>
                </w:tcPr>
                <w:p w14:paraId="71E8F615"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178 114,08</w:t>
                  </w:r>
                </w:p>
              </w:tc>
              <w:tc>
                <w:tcPr>
                  <w:tcW w:w="621" w:type="dxa"/>
                  <w:tcBorders>
                    <w:top w:val="nil"/>
                    <w:left w:val="nil"/>
                    <w:bottom w:val="single" w:sz="4" w:space="0" w:color="auto"/>
                    <w:right w:val="single" w:sz="4" w:space="0" w:color="auto"/>
                  </w:tcBorders>
                  <w:noWrap/>
                  <w:vAlign w:val="center"/>
                  <w:hideMark/>
                </w:tcPr>
                <w:p w14:paraId="11358868" w14:textId="1F1AEE63" w:rsidR="006C23EC" w:rsidRPr="007D00E5" w:rsidRDefault="00352A5E"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0,00</w:t>
                  </w:r>
                </w:p>
              </w:tc>
              <w:tc>
                <w:tcPr>
                  <w:tcW w:w="848" w:type="dxa"/>
                  <w:tcBorders>
                    <w:top w:val="nil"/>
                    <w:left w:val="nil"/>
                    <w:bottom w:val="single" w:sz="4" w:space="0" w:color="auto"/>
                    <w:right w:val="single" w:sz="4" w:space="0" w:color="auto"/>
                  </w:tcBorders>
                  <w:noWrap/>
                  <w:vAlign w:val="center"/>
                  <w:hideMark/>
                </w:tcPr>
                <w:p w14:paraId="4DBEAC29" w14:textId="1587DBF3" w:rsidR="006C23EC" w:rsidRPr="007D00E5" w:rsidRDefault="00275306"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178 114,08</w:t>
                  </w:r>
                </w:p>
              </w:tc>
              <w:tc>
                <w:tcPr>
                  <w:tcW w:w="537" w:type="dxa"/>
                  <w:tcBorders>
                    <w:top w:val="nil"/>
                    <w:left w:val="nil"/>
                    <w:bottom w:val="single" w:sz="4" w:space="0" w:color="auto"/>
                    <w:right w:val="single" w:sz="4" w:space="0" w:color="auto"/>
                  </w:tcBorders>
                  <w:noWrap/>
                  <w:vAlign w:val="center"/>
                  <w:hideMark/>
                </w:tcPr>
                <w:p w14:paraId="26DF8B72" w14:textId="77777777" w:rsidR="006C23EC" w:rsidRPr="007D00E5" w:rsidRDefault="006C23EC" w:rsidP="006C23EC">
                  <w:pPr>
                    <w:spacing w:after="0" w:line="240" w:lineRule="auto"/>
                    <w:jc w:val="right"/>
                    <w:rPr>
                      <w:rFonts w:ascii="Arial Narrow" w:eastAsia="Times New Roman" w:hAnsi="Arial Narrow" w:cs="Calibri"/>
                      <w:b/>
                      <w:bCs/>
                      <w:color w:val="000000"/>
                      <w:sz w:val="14"/>
                      <w:szCs w:val="14"/>
                      <w:lang w:eastAsia="pl-PL"/>
                    </w:rPr>
                  </w:pPr>
                  <w:r w:rsidRPr="007D00E5">
                    <w:rPr>
                      <w:rFonts w:ascii="Arial Narrow" w:eastAsia="Times New Roman" w:hAnsi="Arial Narrow" w:cs="Calibri"/>
                      <w:b/>
                      <w:bCs/>
                      <w:color w:val="000000"/>
                      <w:sz w:val="14"/>
                      <w:szCs w:val="14"/>
                      <w:lang w:eastAsia="pl-PL"/>
                    </w:rPr>
                    <w:t>0,00</w:t>
                  </w:r>
                </w:p>
              </w:tc>
              <w:tc>
                <w:tcPr>
                  <w:tcW w:w="922" w:type="dxa"/>
                  <w:tcBorders>
                    <w:top w:val="nil"/>
                    <w:left w:val="nil"/>
                    <w:bottom w:val="single" w:sz="4" w:space="0" w:color="auto"/>
                    <w:right w:val="single" w:sz="4" w:space="0" w:color="auto"/>
                  </w:tcBorders>
                  <w:noWrap/>
                  <w:vAlign w:val="center"/>
                  <w:hideMark/>
                </w:tcPr>
                <w:p w14:paraId="68F55320" w14:textId="704C7163" w:rsidR="007D00E5" w:rsidRPr="007D00E5" w:rsidRDefault="00B578C9" w:rsidP="007D00E5">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3 516 941,71</w:t>
                  </w:r>
                </w:p>
              </w:tc>
              <w:tc>
                <w:tcPr>
                  <w:tcW w:w="0" w:type="auto"/>
                  <w:tcBorders>
                    <w:top w:val="nil"/>
                    <w:left w:val="nil"/>
                    <w:bottom w:val="single" w:sz="4" w:space="0" w:color="auto"/>
                    <w:right w:val="single" w:sz="4" w:space="0" w:color="auto"/>
                  </w:tcBorders>
                  <w:noWrap/>
                  <w:vAlign w:val="center"/>
                  <w:hideMark/>
                </w:tcPr>
                <w:p w14:paraId="2682F41A" w14:textId="2678B434"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3 268 516,54</w:t>
                  </w:r>
                </w:p>
              </w:tc>
              <w:tc>
                <w:tcPr>
                  <w:tcW w:w="827" w:type="dxa"/>
                  <w:tcBorders>
                    <w:top w:val="nil"/>
                    <w:left w:val="nil"/>
                    <w:bottom w:val="single" w:sz="4" w:space="0" w:color="auto"/>
                    <w:right w:val="single" w:sz="4" w:space="0" w:color="auto"/>
                  </w:tcBorders>
                  <w:noWrap/>
                  <w:vAlign w:val="center"/>
                  <w:hideMark/>
                </w:tcPr>
                <w:p w14:paraId="08DB5E7E" w14:textId="4A70FCC5" w:rsidR="006C23EC" w:rsidRPr="007D00E5" w:rsidRDefault="00B578C9" w:rsidP="006C23EC">
                  <w:pPr>
                    <w:spacing w:after="0" w:line="240" w:lineRule="auto"/>
                    <w:jc w:val="right"/>
                    <w:rPr>
                      <w:rFonts w:ascii="Arial Narrow" w:eastAsia="Times New Roman" w:hAnsi="Arial Narrow" w:cs="Calibri"/>
                      <w:b/>
                      <w:bCs/>
                      <w:color w:val="000000"/>
                      <w:sz w:val="14"/>
                      <w:szCs w:val="14"/>
                      <w:lang w:eastAsia="pl-PL"/>
                    </w:rPr>
                  </w:pPr>
                  <w:r>
                    <w:rPr>
                      <w:rFonts w:ascii="Arial Narrow" w:eastAsia="Times New Roman" w:hAnsi="Arial Narrow" w:cs="Calibri"/>
                      <w:b/>
                      <w:bCs/>
                      <w:color w:val="000000"/>
                      <w:sz w:val="14"/>
                      <w:szCs w:val="14"/>
                      <w:lang w:eastAsia="pl-PL"/>
                    </w:rPr>
                    <w:t>3 090 402,46</w:t>
                  </w:r>
                </w:p>
              </w:tc>
            </w:tr>
          </w:tbl>
          <w:p w14:paraId="78827300" w14:textId="77777777" w:rsidR="006C23EC" w:rsidRDefault="006C23EC" w:rsidP="004112BB">
            <w:pPr>
              <w:widowControl w:val="0"/>
              <w:autoSpaceDE w:val="0"/>
              <w:autoSpaceDN w:val="0"/>
              <w:adjustRightInd w:val="0"/>
              <w:spacing w:before="47"/>
              <w:ind w:right="-20"/>
              <w:rPr>
                <w:color w:val="2E2014"/>
                <w:sz w:val="20"/>
                <w:szCs w:val="20"/>
              </w:rPr>
            </w:pPr>
          </w:p>
        </w:tc>
      </w:tr>
      <w:tr w:rsidR="004112BB" w14:paraId="1A2C85DD" w14:textId="77777777" w:rsidTr="00BA14E8">
        <w:trPr>
          <w:cantSplit/>
          <w:trHeight w:val="557"/>
        </w:trPr>
        <w:tc>
          <w:tcPr>
            <w:tcW w:w="421" w:type="dxa"/>
          </w:tcPr>
          <w:p w14:paraId="7CFA0259" w14:textId="77777777" w:rsidR="00665279" w:rsidRDefault="00665279" w:rsidP="004112BB">
            <w:pPr>
              <w:rPr>
                <w:rFonts w:cstheme="minorHAnsi"/>
                <w:sz w:val="20"/>
                <w:szCs w:val="20"/>
              </w:rPr>
            </w:pPr>
          </w:p>
          <w:p w14:paraId="12FA7899" w14:textId="7EEF5CEA" w:rsidR="004112BB" w:rsidRPr="004E729C" w:rsidRDefault="004112BB" w:rsidP="004112BB">
            <w:pPr>
              <w:rPr>
                <w:rFonts w:cstheme="minorHAnsi"/>
                <w:sz w:val="20"/>
                <w:szCs w:val="20"/>
              </w:rPr>
            </w:pPr>
            <w:r>
              <w:rPr>
                <w:rFonts w:cstheme="minorHAnsi"/>
                <w:sz w:val="20"/>
                <w:szCs w:val="20"/>
              </w:rPr>
              <w:t>1.2</w:t>
            </w:r>
          </w:p>
        </w:tc>
        <w:tc>
          <w:tcPr>
            <w:tcW w:w="15050" w:type="dxa"/>
          </w:tcPr>
          <w:p w14:paraId="7077B7C4" w14:textId="77777777" w:rsidR="000A1778" w:rsidRDefault="000A1778" w:rsidP="004112BB">
            <w:pPr>
              <w:widowControl w:val="0"/>
              <w:autoSpaceDE w:val="0"/>
              <w:autoSpaceDN w:val="0"/>
              <w:adjustRightInd w:val="0"/>
              <w:spacing w:before="47"/>
              <w:ind w:right="-20"/>
              <w:rPr>
                <w:color w:val="2E2014"/>
                <w:sz w:val="20"/>
                <w:szCs w:val="20"/>
              </w:rPr>
            </w:pPr>
          </w:p>
          <w:p w14:paraId="2DF13936" w14:textId="2436E392"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4EDA9BAE" w14:textId="77777777" w:rsidTr="00BA14E8">
        <w:tc>
          <w:tcPr>
            <w:tcW w:w="421" w:type="dxa"/>
          </w:tcPr>
          <w:p w14:paraId="3918406F" w14:textId="77777777" w:rsidR="004112BB" w:rsidRPr="004E729C" w:rsidRDefault="004112BB" w:rsidP="004112BB">
            <w:pPr>
              <w:rPr>
                <w:rFonts w:cstheme="minorHAnsi"/>
                <w:sz w:val="20"/>
                <w:szCs w:val="20"/>
              </w:rPr>
            </w:pPr>
          </w:p>
        </w:tc>
        <w:tc>
          <w:tcPr>
            <w:tcW w:w="15050" w:type="dxa"/>
          </w:tcPr>
          <w:p w14:paraId="726CB14C" w14:textId="77777777" w:rsidR="004112BB" w:rsidRPr="000D2706" w:rsidRDefault="000D2706" w:rsidP="000D2706">
            <w:pPr>
              <w:rPr>
                <w:sz w:val="24"/>
                <w:szCs w:val="24"/>
              </w:rPr>
            </w:pPr>
            <w:r w:rsidRPr="000D2706">
              <w:rPr>
                <w:sz w:val="24"/>
                <w:szCs w:val="24"/>
              </w:rPr>
              <w:t xml:space="preserve"> nie dotyczy</w:t>
            </w:r>
          </w:p>
        </w:tc>
      </w:tr>
      <w:tr w:rsidR="004112BB" w14:paraId="023B4061" w14:textId="77777777" w:rsidTr="00BA14E8">
        <w:tc>
          <w:tcPr>
            <w:tcW w:w="421" w:type="dxa"/>
          </w:tcPr>
          <w:p w14:paraId="339351C8" w14:textId="77777777" w:rsidR="004112BB" w:rsidRPr="004E729C" w:rsidRDefault="004112BB" w:rsidP="004112BB">
            <w:pPr>
              <w:rPr>
                <w:rFonts w:cstheme="minorHAnsi"/>
                <w:sz w:val="20"/>
                <w:szCs w:val="20"/>
              </w:rPr>
            </w:pPr>
            <w:r>
              <w:rPr>
                <w:rFonts w:cstheme="minorHAnsi"/>
                <w:sz w:val="20"/>
                <w:szCs w:val="20"/>
              </w:rPr>
              <w:t>1.3</w:t>
            </w:r>
          </w:p>
        </w:tc>
        <w:tc>
          <w:tcPr>
            <w:tcW w:w="15050" w:type="dxa"/>
          </w:tcPr>
          <w:p w14:paraId="35B52AE4"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5E71FAE9" w14:textId="77777777" w:rsidTr="00BA14E8">
        <w:tc>
          <w:tcPr>
            <w:tcW w:w="421" w:type="dxa"/>
          </w:tcPr>
          <w:p w14:paraId="36216AA8" w14:textId="77777777" w:rsidR="004112BB" w:rsidRPr="004E729C" w:rsidRDefault="004112BB" w:rsidP="004112BB">
            <w:pPr>
              <w:rPr>
                <w:rFonts w:cstheme="minorHAnsi"/>
                <w:sz w:val="20"/>
                <w:szCs w:val="20"/>
              </w:rPr>
            </w:pPr>
          </w:p>
        </w:tc>
        <w:tc>
          <w:tcPr>
            <w:tcW w:w="15050" w:type="dxa"/>
          </w:tcPr>
          <w:p w14:paraId="3B05895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112BB" w14:paraId="19940039" w14:textId="77777777" w:rsidTr="00BA14E8">
        <w:tc>
          <w:tcPr>
            <w:tcW w:w="421" w:type="dxa"/>
          </w:tcPr>
          <w:p w14:paraId="55B39A9B" w14:textId="77777777" w:rsidR="004112BB" w:rsidRPr="004E729C" w:rsidRDefault="004112BB" w:rsidP="004112BB">
            <w:pPr>
              <w:rPr>
                <w:rFonts w:cstheme="minorHAnsi"/>
                <w:sz w:val="20"/>
                <w:szCs w:val="20"/>
              </w:rPr>
            </w:pPr>
            <w:r>
              <w:rPr>
                <w:rFonts w:cstheme="minorHAnsi"/>
                <w:sz w:val="20"/>
                <w:szCs w:val="20"/>
              </w:rPr>
              <w:t>1.4</w:t>
            </w:r>
          </w:p>
        </w:tc>
        <w:tc>
          <w:tcPr>
            <w:tcW w:w="15050" w:type="dxa"/>
          </w:tcPr>
          <w:p w14:paraId="663EFD9B" w14:textId="77777777" w:rsidR="004112BB" w:rsidRDefault="004112BB" w:rsidP="004112BB">
            <w:pPr>
              <w:rPr>
                <w:b/>
                <w:sz w:val="24"/>
                <w:szCs w:val="24"/>
              </w:rPr>
            </w:pPr>
            <w:r>
              <w:rPr>
                <w:color w:val="2E2014"/>
                <w:sz w:val="20"/>
                <w:szCs w:val="20"/>
              </w:rPr>
              <w:t>wartość gruntów użytkowanych wieczyście</w:t>
            </w:r>
          </w:p>
        </w:tc>
      </w:tr>
      <w:tr w:rsidR="004112BB" w14:paraId="6961B5A7" w14:textId="77777777" w:rsidTr="00BA14E8">
        <w:tc>
          <w:tcPr>
            <w:tcW w:w="421" w:type="dxa"/>
          </w:tcPr>
          <w:p w14:paraId="5DD9472C" w14:textId="77777777" w:rsidR="004112BB" w:rsidRPr="004E729C" w:rsidRDefault="004112BB" w:rsidP="004112BB">
            <w:pPr>
              <w:rPr>
                <w:rFonts w:cstheme="minorHAnsi"/>
                <w:sz w:val="20"/>
                <w:szCs w:val="20"/>
              </w:rPr>
            </w:pPr>
          </w:p>
        </w:tc>
        <w:tc>
          <w:tcPr>
            <w:tcW w:w="15050" w:type="dxa"/>
          </w:tcPr>
          <w:p w14:paraId="738C5339"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5A4CD12E" w14:textId="77777777" w:rsidTr="00BA14E8">
        <w:tc>
          <w:tcPr>
            <w:tcW w:w="421" w:type="dxa"/>
          </w:tcPr>
          <w:p w14:paraId="6482C2EC" w14:textId="77777777" w:rsidR="004112BB" w:rsidRPr="004E729C" w:rsidRDefault="004112BB" w:rsidP="004112BB">
            <w:pPr>
              <w:rPr>
                <w:rFonts w:cstheme="minorHAnsi"/>
                <w:sz w:val="20"/>
                <w:szCs w:val="20"/>
              </w:rPr>
            </w:pPr>
            <w:r>
              <w:rPr>
                <w:rFonts w:cstheme="minorHAnsi"/>
                <w:sz w:val="20"/>
                <w:szCs w:val="20"/>
              </w:rPr>
              <w:t>1.5</w:t>
            </w:r>
          </w:p>
        </w:tc>
        <w:tc>
          <w:tcPr>
            <w:tcW w:w="15050" w:type="dxa"/>
          </w:tcPr>
          <w:p w14:paraId="077CD039"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436B82A1" w14:textId="77777777" w:rsidTr="00BA14E8">
        <w:tc>
          <w:tcPr>
            <w:tcW w:w="421" w:type="dxa"/>
          </w:tcPr>
          <w:p w14:paraId="5001AD93" w14:textId="77777777" w:rsidR="004112BB" w:rsidRPr="004E729C" w:rsidRDefault="004112BB" w:rsidP="004112BB">
            <w:pPr>
              <w:rPr>
                <w:rFonts w:cstheme="minorHAnsi"/>
                <w:sz w:val="20"/>
                <w:szCs w:val="20"/>
              </w:rPr>
            </w:pPr>
          </w:p>
        </w:tc>
        <w:tc>
          <w:tcPr>
            <w:tcW w:w="15050" w:type="dxa"/>
          </w:tcPr>
          <w:p w14:paraId="6B6CAE66"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32826104" w14:textId="77777777" w:rsidTr="00BA14E8">
        <w:tc>
          <w:tcPr>
            <w:tcW w:w="421" w:type="dxa"/>
          </w:tcPr>
          <w:p w14:paraId="0E7F32D5"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5050" w:type="dxa"/>
          </w:tcPr>
          <w:p w14:paraId="40CDCEC6"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70A7DCA4" w14:textId="77777777" w:rsidTr="00BA14E8">
        <w:tc>
          <w:tcPr>
            <w:tcW w:w="421" w:type="dxa"/>
          </w:tcPr>
          <w:p w14:paraId="4ED09D2F" w14:textId="77777777" w:rsidR="004112BB" w:rsidRPr="004E729C" w:rsidRDefault="004112BB" w:rsidP="004112BB">
            <w:pPr>
              <w:rPr>
                <w:rFonts w:cstheme="minorHAnsi"/>
                <w:sz w:val="20"/>
                <w:szCs w:val="20"/>
              </w:rPr>
            </w:pPr>
          </w:p>
        </w:tc>
        <w:tc>
          <w:tcPr>
            <w:tcW w:w="15050" w:type="dxa"/>
          </w:tcPr>
          <w:p w14:paraId="342AFFE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5626793E" w14:textId="77777777" w:rsidTr="00BA14E8">
        <w:tc>
          <w:tcPr>
            <w:tcW w:w="421" w:type="dxa"/>
          </w:tcPr>
          <w:p w14:paraId="72C8615B"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5050" w:type="dxa"/>
          </w:tcPr>
          <w:p w14:paraId="0C4BE1EA"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38802CB8" w14:textId="77777777" w:rsidTr="00BA14E8">
        <w:tc>
          <w:tcPr>
            <w:tcW w:w="421" w:type="dxa"/>
          </w:tcPr>
          <w:p w14:paraId="1D0611F2" w14:textId="77777777" w:rsidR="004112BB" w:rsidRPr="004E729C" w:rsidRDefault="004112BB" w:rsidP="004112BB">
            <w:pPr>
              <w:rPr>
                <w:rFonts w:cstheme="minorHAnsi"/>
                <w:sz w:val="20"/>
                <w:szCs w:val="20"/>
              </w:rPr>
            </w:pPr>
          </w:p>
        </w:tc>
        <w:tc>
          <w:tcPr>
            <w:tcW w:w="15050" w:type="dxa"/>
          </w:tcPr>
          <w:p w14:paraId="0CEB434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114BDC5E" w14:textId="77777777" w:rsidTr="00BA14E8">
        <w:tc>
          <w:tcPr>
            <w:tcW w:w="421" w:type="dxa"/>
          </w:tcPr>
          <w:p w14:paraId="28405E58"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5050" w:type="dxa"/>
          </w:tcPr>
          <w:p w14:paraId="48702518"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7CAF51ED" w14:textId="77777777" w:rsidTr="00BA14E8">
        <w:tc>
          <w:tcPr>
            <w:tcW w:w="421" w:type="dxa"/>
          </w:tcPr>
          <w:p w14:paraId="2651C30A" w14:textId="77777777" w:rsidR="004112BB" w:rsidRPr="004E729C" w:rsidRDefault="004112BB" w:rsidP="004112BB">
            <w:pPr>
              <w:rPr>
                <w:rFonts w:cstheme="minorHAnsi"/>
                <w:sz w:val="20"/>
                <w:szCs w:val="20"/>
              </w:rPr>
            </w:pPr>
          </w:p>
        </w:tc>
        <w:tc>
          <w:tcPr>
            <w:tcW w:w="15050" w:type="dxa"/>
          </w:tcPr>
          <w:p w14:paraId="29B415A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0AA64255" w14:textId="77777777" w:rsidTr="00BA14E8">
        <w:tc>
          <w:tcPr>
            <w:tcW w:w="421" w:type="dxa"/>
          </w:tcPr>
          <w:p w14:paraId="6CE6DC05"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5050" w:type="dxa"/>
          </w:tcPr>
          <w:p w14:paraId="6F938D72"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7E753D52" w14:textId="77777777" w:rsidTr="00BA14E8">
        <w:tc>
          <w:tcPr>
            <w:tcW w:w="421" w:type="dxa"/>
          </w:tcPr>
          <w:p w14:paraId="274B6A5B"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5050" w:type="dxa"/>
          </w:tcPr>
          <w:p w14:paraId="133BF6BC"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05223F54" w14:textId="77777777" w:rsidTr="00BA14E8">
        <w:tc>
          <w:tcPr>
            <w:tcW w:w="421" w:type="dxa"/>
          </w:tcPr>
          <w:p w14:paraId="72BE6760" w14:textId="77777777" w:rsidR="004112BB" w:rsidRPr="004E729C" w:rsidRDefault="004112BB" w:rsidP="004112BB">
            <w:pPr>
              <w:rPr>
                <w:rFonts w:cstheme="minorHAnsi"/>
                <w:sz w:val="20"/>
                <w:szCs w:val="20"/>
              </w:rPr>
            </w:pPr>
          </w:p>
        </w:tc>
        <w:tc>
          <w:tcPr>
            <w:tcW w:w="15050" w:type="dxa"/>
          </w:tcPr>
          <w:p w14:paraId="0D90BFF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4824BFDB" w14:textId="77777777" w:rsidTr="00BA14E8">
        <w:tc>
          <w:tcPr>
            <w:tcW w:w="421" w:type="dxa"/>
          </w:tcPr>
          <w:p w14:paraId="0DE43B02"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5050" w:type="dxa"/>
          </w:tcPr>
          <w:p w14:paraId="07B865C4"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3FFB03A8" w14:textId="77777777" w:rsidTr="00BA14E8">
        <w:tc>
          <w:tcPr>
            <w:tcW w:w="421" w:type="dxa"/>
          </w:tcPr>
          <w:p w14:paraId="44E1227A" w14:textId="77777777" w:rsidR="004112BB" w:rsidRPr="004E729C" w:rsidRDefault="004112BB" w:rsidP="004112BB">
            <w:pPr>
              <w:rPr>
                <w:rFonts w:cstheme="minorHAnsi"/>
                <w:sz w:val="20"/>
                <w:szCs w:val="20"/>
              </w:rPr>
            </w:pPr>
          </w:p>
        </w:tc>
        <w:tc>
          <w:tcPr>
            <w:tcW w:w="15050" w:type="dxa"/>
          </w:tcPr>
          <w:p w14:paraId="0BF48E1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62AB3C5C" w14:textId="77777777" w:rsidTr="00BA14E8">
        <w:tc>
          <w:tcPr>
            <w:tcW w:w="421" w:type="dxa"/>
          </w:tcPr>
          <w:p w14:paraId="1BC829F0"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5050" w:type="dxa"/>
          </w:tcPr>
          <w:p w14:paraId="68FD90DC"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00717465" w14:textId="77777777" w:rsidTr="00BA14E8">
        <w:tc>
          <w:tcPr>
            <w:tcW w:w="421" w:type="dxa"/>
          </w:tcPr>
          <w:p w14:paraId="5E377999" w14:textId="77777777" w:rsidR="004112BB" w:rsidRPr="004E729C" w:rsidRDefault="004112BB" w:rsidP="004112BB">
            <w:pPr>
              <w:rPr>
                <w:rFonts w:cstheme="minorHAnsi"/>
                <w:sz w:val="20"/>
                <w:szCs w:val="20"/>
              </w:rPr>
            </w:pPr>
          </w:p>
        </w:tc>
        <w:tc>
          <w:tcPr>
            <w:tcW w:w="15050" w:type="dxa"/>
          </w:tcPr>
          <w:p w14:paraId="1140DD2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760D469F" w14:textId="77777777" w:rsidTr="00BA14E8">
        <w:tc>
          <w:tcPr>
            <w:tcW w:w="421" w:type="dxa"/>
          </w:tcPr>
          <w:p w14:paraId="1B8AFBE5"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5050" w:type="dxa"/>
          </w:tcPr>
          <w:p w14:paraId="3DEE3252"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654BC7A8" w14:textId="77777777" w:rsidTr="00BA14E8">
        <w:tc>
          <w:tcPr>
            <w:tcW w:w="421" w:type="dxa"/>
          </w:tcPr>
          <w:p w14:paraId="765B2736" w14:textId="77777777" w:rsidR="004112BB" w:rsidRPr="004E729C" w:rsidRDefault="004112BB" w:rsidP="004112BB">
            <w:pPr>
              <w:rPr>
                <w:rFonts w:cstheme="minorHAnsi"/>
                <w:sz w:val="20"/>
                <w:szCs w:val="20"/>
              </w:rPr>
            </w:pPr>
          </w:p>
        </w:tc>
        <w:tc>
          <w:tcPr>
            <w:tcW w:w="15050" w:type="dxa"/>
          </w:tcPr>
          <w:p w14:paraId="21FC40B9"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1B1E1C04" w14:textId="77777777" w:rsidTr="00BA14E8">
        <w:tc>
          <w:tcPr>
            <w:tcW w:w="421" w:type="dxa"/>
          </w:tcPr>
          <w:p w14:paraId="273758B1"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5050" w:type="dxa"/>
          </w:tcPr>
          <w:p w14:paraId="11523DEB"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4C9E4D17" w14:textId="77777777" w:rsidTr="00BA14E8">
        <w:tc>
          <w:tcPr>
            <w:tcW w:w="421" w:type="dxa"/>
          </w:tcPr>
          <w:p w14:paraId="6D258F68" w14:textId="77777777" w:rsidR="004112BB" w:rsidRPr="004E729C" w:rsidRDefault="004112BB" w:rsidP="004112BB">
            <w:pPr>
              <w:rPr>
                <w:rFonts w:cstheme="minorHAnsi"/>
                <w:sz w:val="20"/>
                <w:szCs w:val="20"/>
              </w:rPr>
            </w:pPr>
          </w:p>
        </w:tc>
        <w:tc>
          <w:tcPr>
            <w:tcW w:w="15050" w:type="dxa"/>
          </w:tcPr>
          <w:p w14:paraId="54FB6D5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6C0EB9C0" w14:textId="77777777" w:rsidTr="00BA14E8">
        <w:tc>
          <w:tcPr>
            <w:tcW w:w="421" w:type="dxa"/>
          </w:tcPr>
          <w:p w14:paraId="700044D1"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5050" w:type="dxa"/>
          </w:tcPr>
          <w:p w14:paraId="555D017B"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13B5BDF8" w14:textId="77777777" w:rsidTr="00BA14E8">
        <w:tc>
          <w:tcPr>
            <w:tcW w:w="421" w:type="dxa"/>
          </w:tcPr>
          <w:p w14:paraId="0BF8F470" w14:textId="77777777" w:rsidR="004112BB" w:rsidRPr="004E729C" w:rsidRDefault="004112BB" w:rsidP="004112BB">
            <w:pPr>
              <w:rPr>
                <w:rFonts w:cstheme="minorHAnsi"/>
                <w:sz w:val="20"/>
                <w:szCs w:val="20"/>
              </w:rPr>
            </w:pPr>
          </w:p>
        </w:tc>
        <w:tc>
          <w:tcPr>
            <w:tcW w:w="15050" w:type="dxa"/>
          </w:tcPr>
          <w:p w14:paraId="68C61F9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363EBC09" w14:textId="77777777" w:rsidTr="00BA14E8">
        <w:tc>
          <w:tcPr>
            <w:tcW w:w="421" w:type="dxa"/>
          </w:tcPr>
          <w:p w14:paraId="3E4580BA"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5050" w:type="dxa"/>
          </w:tcPr>
          <w:p w14:paraId="0B682ACD"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0CA05F78" w14:textId="77777777" w:rsidTr="00BA14E8">
        <w:tc>
          <w:tcPr>
            <w:tcW w:w="421" w:type="dxa"/>
          </w:tcPr>
          <w:p w14:paraId="1FC07CA3" w14:textId="77777777" w:rsidR="004112BB" w:rsidRPr="004E729C" w:rsidRDefault="004112BB" w:rsidP="004112BB">
            <w:pPr>
              <w:rPr>
                <w:rFonts w:cstheme="minorHAnsi"/>
                <w:sz w:val="20"/>
                <w:szCs w:val="20"/>
              </w:rPr>
            </w:pPr>
          </w:p>
        </w:tc>
        <w:tc>
          <w:tcPr>
            <w:tcW w:w="15050" w:type="dxa"/>
          </w:tcPr>
          <w:p w14:paraId="367A4B1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4BC3922A" w14:textId="77777777" w:rsidTr="00BA14E8">
        <w:tc>
          <w:tcPr>
            <w:tcW w:w="421" w:type="dxa"/>
          </w:tcPr>
          <w:p w14:paraId="7F7B4074"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5050" w:type="dxa"/>
          </w:tcPr>
          <w:p w14:paraId="36649562"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48B5561C" w14:textId="77777777" w:rsidTr="00BA14E8">
        <w:tc>
          <w:tcPr>
            <w:tcW w:w="421" w:type="dxa"/>
          </w:tcPr>
          <w:p w14:paraId="28CB2CA0" w14:textId="77777777" w:rsidR="004112BB" w:rsidRPr="004E729C" w:rsidRDefault="004112BB" w:rsidP="004112BB">
            <w:pPr>
              <w:rPr>
                <w:rFonts w:cstheme="minorHAnsi"/>
                <w:sz w:val="20"/>
                <w:szCs w:val="20"/>
              </w:rPr>
            </w:pPr>
          </w:p>
        </w:tc>
        <w:tc>
          <w:tcPr>
            <w:tcW w:w="15050" w:type="dxa"/>
          </w:tcPr>
          <w:p w14:paraId="157BC80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5EDC4B63" w14:textId="77777777" w:rsidTr="00BA14E8">
        <w:tc>
          <w:tcPr>
            <w:tcW w:w="421" w:type="dxa"/>
          </w:tcPr>
          <w:p w14:paraId="6FB55865"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5050" w:type="dxa"/>
          </w:tcPr>
          <w:p w14:paraId="1B0D0DEF" w14:textId="77777777" w:rsidR="006532F0" w:rsidRPr="000B1E77" w:rsidRDefault="006532F0" w:rsidP="006532F0">
            <w:pPr>
              <w:widowControl w:val="0"/>
              <w:autoSpaceDE w:val="0"/>
              <w:autoSpaceDN w:val="0"/>
              <w:adjustRightInd w:val="0"/>
              <w:spacing w:before="47"/>
              <w:ind w:right="-20"/>
            </w:pPr>
            <w:r w:rsidRPr="000B1E77">
              <w:rPr>
                <w:color w:val="2E2014"/>
                <w:sz w:val="20"/>
                <w:szCs w:val="20"/>
              </w:rPr>
              <w:t>kwotę wypłaconych środków pieniężnych na świadczenia pracownicze</w:t>
            </w:r>
          </w:p>
        </w:tc>
      </w:tr>
      <w:tr w:rsidR="004112BB" w14:paraId="4EE07C39" w14:textId="77777777" w:rsidTr="00BA14E8">
        <w:tc>
          <w:tcPr>
            <w:tcW w:w="421" w:type="dxa"/>
          </w:tcPr>
          <w:p w14:paraId="4444EC55" w14:textId="77777777" w:rsidR="004112BB" w:rsidRPr="004E729C" w:rsidRDefault="004112BB" w:rsidP="004112BB">
            <w:pPr>
              <w:rPr>
                <w:rFonts w:cstheme="minorHAnsi"/>
                <w:sz w:val="20"/>
                <w:szCs w:val="20"/>
              </w:rPr>
            </w:pPr>
          </w:p>
        </w:tc>
        <w:tc>
          <w:tcPr>
            <w:tcW w:w="15050" w:type="dxa"/>
          </w:tcPr>
          <w:p w14:paraId="232B4AC7" w14:textId="74519D60" w:rsidR="004112BB" w:rsidRPr="00C3321C" w:rsidRDefault="00CE7C5D" w:rsidP="004112BB">
            <w:pPr>
              <w:rPr>
                <w:b/>
                <w:bCs/>
              </w:rPr>
            </w:pPr>
            <w:r>
              <w:rPr>
                <w:b/>
                <w:bCs/>
              </w:rPr>
              <w:t>347 115,94</w:t>
            </w:r>
          </w:p>
        </w:tc>
      </w:tr>
      <w:tr w:rsidR="006532F0" w14:paraId="7961B1CD" w14:textId="77777777" w:rsidTr="00BA14E8">
        <w:tc>
          <w:tcPr>
            <w:tcW w:w="421" w:type="dxa"/>
          </w:tcPr>
          <w:p w14:paraId="150A7EEF"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5050" w:type="dxa"/>
          </w:tcPr>
          <w:p w14:paraId="4EB463B3" w14:textId="77777777" w:rsidR="006532F0" w:rsidRDefault="006532F0" w:rsidP="006532F0">
            <w:pPr>
              <w:widowControl w:val="0"/>
              <w:autoSpaceDE w:val="0"/>
              <w:autoSpaceDN w:val="0"/>
              <w:adjustRightInd w:val="0"/>
              <w:spacing w:before="47"/>
              <w:ind w:right="-20"/>
            </w:pPr>
            <w:r w:rsidRPr="000B1E77">
              <w:rPr>
                <w:color w:val="2E2014"/>
                <w:sz w:val="20"/>
                <w:szCs w:val="20"/>
              </w:rPr>
              <w:t>inne informacje</w:t>
            </w:r>
          </w:p>
        </w:tc>
      </w:tr>
      <w:tr w:rsidR="004112BB" w14:paraId="0D95E3BA" w14:textId="77777777" w:rsidTr="00BA14E8">
        <w:tc>
          <w:tcPr>
            <w:tcW w:w="421" w:type="dxa"/>
          </w:tcPr>
          <w:p w14:paraId="33EEF544" w14:textId="77777777" w:rsidR="004112BB" w:rsidRPr="004E729C" w:rsidRDefault="004112BB" w:rsidP="004112BB">
            <w:pPr>
              <w:rPr>
                <w:rFonts w:cstheme="minorHAnsi"/>
                <w:sz w:val="20"/>
                <w:szCs w:val="20"/>
              </w:rPr>
            </w:pPr>
          </w:p>
        </w:tc>
        <w:tc>
          <w:tcPr>
            <w:tcW w:w="15050" w:type="dxa"/>
          </w:tcPr>
          <w:p w14:paraId="71440BD7" w14:textId="18880626" w:rsidR="004112BB" w:rsidRPr="00D17FB7" w:rsidRDefault="000B1E77" w:rsidP="004112BB">
            <w:r w:rsidRPr="00D17FB7">
              <w:t xml:space="preserve">- umorzenie zbiorów bibliotecznych – </w:t>
            </w:r>
            <w:r w:rsidR="003F7FF0">
              <w:t xml:space="preserve">                 </w:t>
            </w:r>
            <w:r w:rsidR="0053396C">
              <w:t xml:space="preserve">    </w:t>
            </w:r>
            <w:r w:rsidR="00CE7C5D" w:rsidRPr="00CE7C5D">
              <w:rPr>
                <w:b/>
                <w:bCs/>
              </w:rPr>
              <w:t>9</w:t>
            </w:r>
            <w:r w:rsidR="006A2B5B" w:rsidRPr="00CE7C5D">
              <w:rPr>
                <w:b/>
                <w:bCs/>
              </w:rPr>
              <w:t>3 811,89</w:t>
            </w:r>
          </w:p>
          <w:p w14:paraId="5A8724A6" w14:textId="46BAC0E9" w:rsidR="000B1E77" w:rsidRDefault="000B1E77" w:rsidP="004112BB">
            <w:pPr>
              <w:rPr>
                <w:b/>
                <w:sz w:val="24"/>
                <w:szCs w:val="24"/>
              </w:rPr>
            </w:pPr>
            <w:r w:rsidRPr="00D17FB7">
              <w:t xml:space="preserve">- umorzenie pozostałych środków trwałych </w:t>
            </w:r>
            <w:r w:rsidR="00D17FB7" w:rsidRPr="00D17FB7">
              <w:t>–</w:t>
            </w:r>
            <w:r w:rsidRPr="00D17FB7">
              <w:rPr>
                <w:b/>
              </w:rPr>
              <w:t xml:space="preserve"> </w:t>
            </w:r>
            <w:r w:rsidR="003F7FF0">
              <w:rPr>
                <w:b/>
              </w:rPr>
              <w:t xml:space="preserve">  </w:t>
            </w:r>
            <w:r w:rsidR="00CE7C5D">
              <w:rPr>
                <w:b/>
              </w:rPr>
              <w:t>1 504 563,55</w:t>
            </w:r>
          </w:p>
        </w:tc>
      </w:tr>
      <w:tr w:rsidR="004112BB" w14:paraId="7D8064B7" w14:textId="77777777" w:rsidTr="00BA14E8">
        <w:tc>
          <w:tcPr>
            <w:tcW w:w="421" w:type="dxa"/>
          </w:tcPr>
          <w:p w14:paraId="4A4E0DDE" w14:textId="77777777" w:rsidR="004112BB" w:rsidRPr="004E729C" w:rsidRDefault="002543AF" w:rsidP="004112BB">
            <w:pPr>
              <w:rPr>
                <w:rFonts w:cstheme="minorHAnsi"/>
                <w:sz w:val="20"/>
                <w:szCs w:val="20"/>
              </w:rPr>
            </w:pPr>
            <w:r>
              <w:rPr>
                <w:rFonts w:cstheme="minorHAnsi"/>
                <w:sz w:val="20"/>
                <w:szCs w:val="20"/>
              </w:rPr>
              <w:t>2.</w:t>
            </w:r>
          </w:p>
        </w:tc>
        <w:tc>
          <w:tcPr>
            <w:tcW w:w="15050" w:type="dxa"/>
          </w:tcPr>
          <w:p w14:paraId="2F76D970" w14:textId="77777777" w:rsidR="004112BB" w:rsidRDefault="004112BB" w:rsidP="004112BB">
            <w:pPr>
              <w:rPr>
                <w:b/>
                <w:sz w:val="24"/>
                <w:szCs w:val="24"/>
              </w:rPr>
            </w:pPr>
          </w:p>
        </w:tc>
      </w:tr>
      <w:tr w:rsidR="004E3D68" w14:paraId="43864637" w14:textId="77777777" w:rsidTr="00BA14E8">
        <w:tc>
          <w:tcPr>
            <w:tcW w:w="421" w:type="dxa"/>
          </w:tcPr>
          <w:p w14:paraId="41A4C82D"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5050" w:type="dxa"/>
          </w:tcPr>
          <w:p w14:paraId="69A03E63"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54E7D507" w14:textId="77777777" w:rsidTr="00BA14E8">
        <w:tc>
          <w:tcPr>
            <w:tcW w:w="421" w:type="dxa"/>
          </w:tcPr>
          <w:p w14:paraId="11407530" w14:textId="77777777" w:rsidR="004112BB" w:rsidRPr="004E729C" w:rsidRDefault="004112BB" w:rsidP="004112BB">
            <w:pPr>
              <w:rPr>
                <w:rFonts w:cstheme="minorHAnsi"/>
                <w:sz w:val="20"/>
                <w:szCs w:val="20"/>
              </w:rPr>
            </w:pPr>
          </w:p>
        </w:tc>
        <w:tc>
          <w:tcPr>
            <w:tcW w:w="15050" w:type="dxa"/>
          </w:tcPr>
          <w:p w14:paraId="70DC77A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24B27515" w14:textId="77777777" w:rsidTr="00BA14E8">
        <w:tc>
          <w:tcPr>
            <w:tcW w:w="421" w:type="dxa"/>
          </w:tcPr>
          <w:p w14:paraId="5CE45BC3"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5050" w:type="dxa"/>
          </w:tcPr>
          <w:p w14:paraId="3FA12919"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5461195B" w14:textId="77777777" w:rsidTr="00BA14E8">
        <w:tc>
          <w:tcPr>
            <w:tcW w:w="421" w:type="dxa"/>
          </w:tcPr>
          <w:p w14:paraId="6D4267AA" w14:textId="77777777" w:rsidR="004112BB" w:rsidRPr="004E729C" w:rsidRDefault="004112BB" w:rsidP="004112BB">
            <w:pPr>
              <w:rPr>
                <w:rFonts w:cstheme="minorHAnsi"/>
                <w:sz w:val="20"/>
                <w:szCs w:val="20"/>
              </w:rPr>
            </w:pPr>
          </w:p>
        </w:tc>
        <w:tc>
          <w:tcPr>
            <w:tcW w:w="15050" w:type="dxa"/>
          </w:tcPr>
          <w:p w14:paraId="278FD813"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0AE8D246" w14:textId="77777777" w:rsidTr="00BA14E8">
        <w:tc>
          <w:tcPr>
            <w:tcW w:w="421" w:type="dxa"/>
          </w:tcPr>
          <w:p w14:paraId="2C16AAB3"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5050" w:type="dxa"/>
          </w:tcPr>
          <w:p w14:paraId="72A11DB3" w14:textId="77777777" w:rsidR="00653791" w:rsidRDefault="00653791" w:rsidP="00653791">
            <w:pPr>
              <w:widowControl w:val="0"/>
              <w:autoSpaceDE w:val="0"/>
              <w:autoSpaceDN w:val="0"/>
              <w:adjustRightInd w:val="0"/>
              <w:spacing w:before="47" w:line="250" w:lineRule="auto"/>
              <w:ind w:right="40"/>
              <w:rPr>
                <w:color w:val="2E2014"/>
                <w:sz w:val="20"/>
                <w:szCs w:val="20"/>
              </w:rPr>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p w14:paraId="7C9F6B6B" w14:textId="57E86B24" w:rsidR="00E50AED" w:rsidRPr="00E50AED" w:rsidRDefault="00E50AED" w:rsidP="00653791">
            <w:pPr>
              <w:widowControl w:val="0"/>
              <w:autoSpaceDE w:val="0"/>
              <w:autoSpaceDN w:val="0"/>
              <w:adjustRightInd w:val="0"/>
              <w:spacing w:before="47" w:line="250" w:lineRule="auto"/>
              <w:ind w:right="40"/>
              <w:rPr>
                <w:b/>
                <w:bCs/>
              </w:rPr>
            </w:pPr>
            <w:r w:rsidRPr="00E50AED">
              <w:rPr>
                <w:b/>
                <w:bCs/>
                <w:color w:val="2E2014"/>
              </w:rPr>
              <w:t xml:space="preserve">Fundusz Pomocy Ukrainie – </w:t>
            </w:r>
            <w:r w:rsidR="00CE7C5D">
              <w:rPr>
                <w:b/>
                <w:bCs/>
                <w:color w:val="2E2014"/>
              </w:rPr>
              <w:t>242 591,16</w:t>
            </w:r>
            <w:r w:rsidRPr="00E50AED">
              <w:rPr>
                <w:b/>
                <w:bCs/>
                <w:color w:val="2E2014"/>
              </w:rPr>
              <w:t xml:space="preserve"> </w:t>
            </w:r>
          </w:p>
        </w:tc>
      </w:tr>
      <w:tr w:rsidR="004112BB" w14:paraId="6DF270F7" w14:textId="77777777" w:rsidTr="00BA14E8">
        <w:tc>
          <w:tcPr>
            <w:tcW w:w="421" w:type="dxa"/>
          </w:tcPr>
          <w:p w14:paraId="20D77836" w14:textId="77777777" w:rsidR="004112BB" w:rsidRPr="004E729C" w:rsidRDefault="004112BB" w:rsidP="004112BB">
            <w:pPr>
              <w:rPr>
                <w:rFonts w:cstheme="minorHAnsi"/>
                <w:sz w:val="20"/>
                <w:szCs w:val="20"/>
              </w:rPr>
            </w:pPr>
          </w:p>
        </w:tc>
        <w:tc>
          <w:tcPr>
            <w:tcW w:w="15050" w:type="dxa"/>
          </w:tcPr>
          <w:p w14:paraId="052B6C9D" w14:textId="77777777" w:rsidR="004112BB" w:rsidRDefault="000D2706" w:rsidP="004112BB">
            <w:pPr>
              <w:rPr>
                <w:b/>
                <w:sz w:val="24"/>
                <w:szCs w:val="24"/>
              </w:rPr>
            </w:pPr>
            <w:r>
              <w:rPr>
                <w:b/>
                <w:sz w:val="24"/>
                <w:szCs w:val="24"/>
              </w:rPr>
              <w:t xml:space="preserve"> </w:t>
            </w:r>
            <w:r>
              <w:rPr>
                <w:sz w:val="24"/>
                <w:szCs w:val="24"/>
              </w:rPr>
              <w:t>nie wystąpiły</w:t>
            </w:r>
          </w:p>
        </w:tc>
      </w:tr>
      <w:tr w:rsidR="00653791" w14:paraId="4669B527" w14:textId="77777777" w:rsidTr="00BA14E8">
        <w:tc>
          <w:tcPr>
            <w:tcW w:w="421" w:type="dxa"/>
          </w:tcPr>
          <w:p w14:paraId="08E49AD6"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5050" w:type="dxa"/>
          </w:tcPr>
          <w:p w14:paraId="4514B4D2"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4ADA7F9C" w14:textId="77777777" w:rsidTr="00BA14E8">
        <w:tc>
          <w:tcPr>
            <w:tcW w:w="421" w:type="dxa"/>
          </w:tcPr>
          <w:p w14:paraId="60578357" w14:textId="77777777" w:rsidR="004112BB" w:rsidRPr="004E729C" w:rsidRDefault="004112BB" w:rsidP="004112BB">
            <w:pPr>
              <w:rPr>
                <w:rFonts w:cstheme="minorHAnsi"/>
                <w:sz w:val="20"/>
                <w:szCs w:val="20"/>
              </w:rPr>
            </w:pPr>
          </w:p>
        </w:tc>
        <w:tc>
          <w:tcPr>
            <w:tcW w:w="15050" w:type="dxa"/>
          </w:tcPr>
          <w:p w14:paraId="1856893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1B37DF76" w14:textId="77777777" w:rsidTr="00BA14E8">
        <w:tc>
          <w:tcPr>
            <w:tcW w:w="421" w:type="dxa"/>
          </w:tcPr>
          <w:p w14:paraId="3B5E56D8"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5050" w:type="dxa"/>
          </w:tcPr>
          <w:p w14:paraId="2D3667C6"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46E1789C" w14:textId="77777777" w:rsidTr="00BA14E8">
        <w:tc>
          <w:tcPr>
            <w:tcW w:w="421" w:type="dxa"/>
          </w:tcPr>
          <w:p w14:paraId="4984851D" w14:textId="77777777" w:rsidR="004112BB" w:rsidRPr="004E729C" w:rsidRDefault="004112BB" w:rsidP="004112BB">
            <w:pPr>
              <w:rPr>
                <w:rFonts w:cstheme="minorHAnsi"/>
                <w:sz w:val="20"/>
                <w:szCs w:val="20"/>
              </w:rPr>
            </w:pPr>
          </w:p>
        </w:tc>
        <w:tc>
          <w:tcPr>
            <w:tcW w:w="15050" w:type="dxa"/>
          </w:tcPr>
          <w:p w14:paraId="7BF37BCE" w14:textId="77777777" w:rsidR="004112BB" w:rsidRDefault="004112BB" w:rsidP="004112BB">
            <w:pPr>
              <w:rPr>
                <w:b/>
                <w:sz w:val="24"/>
                <w:szCs w:val="24"/>
              </w:rPr>
            </w:pPr>
          </w:p>
        </w:tc>
      </w:tr>
      <w:tr w:rsidR="00653791" w14:paraId="38CFA1B2" w14:textId="77777777" w:rsidTr="00BA14E8">
        <w:tc>
          <w:tcPr>
            <w:tcW w:w="421" w:type="dxa"/>
          </w:tcPr>
          <w:p w14:paraId="52DCCC5E"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5050" w:type="dxa"/>
          </w:tcPr>
          <w:p w14:paraId="7B9907DD"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53F207D8" w14:textId="77777777" w:rsidTr="00BA14E8">
        <w:tc>
          <w:tcPr>
            <w:tcW w:w="421" w:type="dxa"/>
          </w:tcPr>
          <w:p w14:paraId="107AFF9C" w14:textId="77777777" w:rsidR="004112BB" w:rsidRPr="004E729C" w:rsidRDefault="004112BB" w:rsidP="004112BB">
            <w:pPr>
              <w:rPr>
                <w:rFonts w:cstheme="minorHAnsi"/>
                <w:sz w:val="20"/>
                <w:szCs w:val="20"/>
              </w:rPr>
            </w:pPr>
          </w:p>
        </w:tc>
        <w:tc>
          <w:tcPr>
            <w:tcW w:w="15050" w:type="dxa"/>
          </w:tcPr>
          <w:p w14:paraId="59ACC442" w14:textId="77777777" w:rsidR="004112BB" w:rsidRDefault="004112BB" w:rsidP="004112BB">
            <w:pPr>
              <w:rPr>
                <w:b/>
                <w:sz w:val="24"/>
                <w:szCs w:val="24"/>
              </w:rPr>
            </w:pPr>
          </w:p>
        </w:tc>
      </w:tr>
    </w:tbl>
    <w:p w14:paraId="0723CA94" w14:textId="77777777" w:rsidR="00891A69" w:rsidRDefault="00891A69" w:rsidP="00891A69">
      <w:pPr>
        <w:rPr>
          <w:b/>
          <w:sz w:val="24"/>
          <w:szCs w:val="24"/>
        </w:rPr>
      </w:pPr>
    </w:p>
    <w:p w14:paraId="031F52D5"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7DC99B5C" w14:textId="77777777" w:rsidTr="009238DE">
        <w:trPr>
          <w:trHeight w:hRule="exact" w:val="280"/>
        </w:trPr>
        <w:tc>
          <w:tcPr>
            <w:tcW w:w="2994" w:type="dxa"/>
            <w:tcBorders>
              <w:top w:val="nil"/>
              <w:left w:val="nil"/>
              <w:bottom w:val="nil"/>
              <w:right w:val="nil"/>
            </w:tcBorders>
          </w:tcPr>
          <w:p w14:paraId="63B9584B"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587D27D0" w14:textId="393B5EF3" w:rsidR="0019543D" w:rsidRPr="003D0946" w:rsidRDefault="003D0946" w:rsidP="0019543D">
            <w:pPr>
              <w:widowControl w:val="0"/>
              <w:autoSpaceDE w:val="0"/>
              <w:autoSpaceDN w:val="0"/>
              <w:adjustRightInd w:val="0"/>
              <w:spacing w:before="76" w:line="203" w:lineRule="exact"/>
              <w:ind w:right="-20"/>
              <w:rPr>
                <w:sz w:val="20"/>
                <w:szCs w:val="20"/>
              </w:rPr>
            </w:pPr>
            <w:r>
              <w:rPr>
                <w:color w:val="2E2014"/>
                <w:position w:val="-1"/>
                <w:sz w:val="20"/>
                <w:szCs w:val="20"/>
              </w:rPr>
              <w:t xml:space="preserve">    </w:t>
            </w:r>
            <w:r w:rsidRPr="003D0946">
              <w:rPr>
                <w:color w:val="2E2014"/>
                <w:position w:val="-1"/>
                <w:sz w:val="20"/>
                <w:szCs w:val="20"/>
              </w:rPr>
              <w:t>202</w:t>
            </w:r>
            <w:r w:rsidR="00D8603E">
              <w:rPr>
                <w:color w:val="2E2014"/>
                <w:position w:val="-1"/>
                <w:sz w:val="20"/>
                <w:szCs w:val="20"/>
              </w:rPr>
              <w:t>6</w:t>
            </w:r>
            <w:r w:rsidRPr="003D0946">
              <w:rPr>
                <w:color w:val="2E2014"/>
                <w:position w:val="-1"/>
                <w:sz w:val="20"/>
                <w:szCs w:val="20"/>
              </w:rPr>
              <w:t>-0</w:t>
            </w:r>
            <w:r w:rsidR="00B00FF1">
              <w:rPr>
                <w:color w:val="2E2014"/>
                <w:position w:val="-1"/>
                <w:sz w:val="20"/>
                <w:szCs w:val="20"/>
              </w:rPr>
              <w:t>2</w:t>
            </w:r>
            <w:r w:rsidRPr="003D0946">
              <w:rPr>
                <w:color w:val="2E2014"/>
                <w:position w:val="-1"/>
                <w:sz w:val="20"/>
                <w:szCs w:val="20"/>
              </w:rPr>
              <w:t>-</w:t>
            </w:r>
            <w:r w:rsidR="00B00FF1">
              <w:rPr>
                <w:color w:val="2E2014"/>
                <w:position w:val="-1"/>
                <w:sz w:val="20"/>
                <w:szCs w:val="20"/>
              </w:rPr>
              <w:t>21</w:t>
            </w:r>
          </w:p>
        </w:tc>
        <w:tc>
          <w:tcPr>
            <w:tcW w:w="2865" w:type="dxa"/>
            <w:tcBorders>
              <w:top w:val="nil"/>
              <w:left w:val="nil"/>
              <w:bottom w:val="nil"/>
              <w:right w:val="nil"/>
            </w:tcBorders>
          </w:tcPr>
          <w:p w14:paraId="546D3CFD"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3461BA89" w14:textId="77777777" w:rsidTr="009238DE">
        <w:trPr>
          <w:trHeight w:hRule="exact" w:val="280"/>
        </w:trPr>
        <w:tc>
          <w:tcPr>
            <w:tcW w:w="2994" w:type="dxa"/>
            <w:tcBorders>
              <w:top w:val="nil"/>
              <w:left w:val="nil"/>
              <w:bottom w:val="nil"/>
              <w:right w:val="nil"/>
            </w:tcBorders>
          </w:tcPr>
          <w:p w14:paraId="3A5A1661"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2D1947C1"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3DE279A6"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3EAEBACF" w14:textId="77777777" w:rsidR="007A21BB" w:rsidRPr="005E4AA3" w:rsidRDefault="007A21BB" w:rsidP="00891A69">
      <w:pPr>
        <w:rPr>
          <w:b/>
          <w:sz w:val="24"/>
          <w:szCs w:val="24"/>
        </w:rPr>
      </w:pPr>
    </w:p>
    <w:sectPr w:rsidR="007A21BB" w:rsidRPr="005E4AA3" w:rsidSect="00D342FB">
      <w:pgSz w:w="16838" w:h="11906" w:orient="landscape" w:code="9"/>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04333005">
    <w:abstractNumId w:val="0"/>
  </w:num>
  <w:num w:numId="2" w16cid:durableId="65850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A3"/>
    <w:rsid w:val="00020B42"/>
    <w:rsid w:val="00037D41"/>
    <w:rsid w:val="000630C3"/>
    <w:rsid w:val="000935A5"/>
    <w:rsid w:val="000A1778"/>
    <w:rsid w:val="000A3999"/>
    <w:rsid w:val="000B1E77"/>
    <w:rsid w:val="000B5D1B"/>
    <w:rsid w:val="000C0E2B"/>
    <w:rsid w:val="000C5D31"/>
    <w:rsid w:val="000D2706"/>
    <w:rsid w:val="000D2FAC"/>
    <w:rsid w:val="000F2C34"/>
    <w:rsid w:val="00127429"/>
    <w:rsid w:val="00152F73"/>
    <w:rsid w:val="00162A2E"/>
    <w:rsid w:val="0019101C"/>
    <w:rsid w:val="0019543D"/>
    <w:rsid w:val="001B0681"/>
    <w:rsid w:val="001C5CCB"/>
    <w:rsid w:val="002435C9"/>
    <w:rsid w:val="002543AF"/>
    <w:rsid w:val="00260AD4"/>
    <w:rsid w:val="00260FE2"/>
    <w:rsid w:val="00275306"/>
    <w:rsid w:val="002757A7"/>
    <w:rsid w:val="002A6106"/>
    <w:rsid w:val="002C4E00"/>
    <w:rsid w:val="002C6CED"/>
    <w:rsid w:val="002E292C"/>
    <w:rsid w:val="002E703F"/>
    <w:rsid w:val="002F6DBE"/>
    <w:rsid w:val="003055BA"/>
    <w:rsid w:val="00321E2E"/>
    <w:rsid w:val="00352A5E"/>
    <w:rsid w:val="00363A1C"/>
    <w:rsid w:val="00364A0E"/>
    <w:rsid w:val="0037164F"/>
    <w:rsid w:val="00375324"/>
    <w:rsid w:val="00385247"/>
    <w:rsid w:val="00387D78"/>
    <w:rsid w:val="003C2D23"/>
    <w:rsid w:val="003D0946"/>
    <w:rsid w:val="003F7FF0"/>
    <w:rsid w:val="004112BB"/>
    <w:rsid w:val="0042497B"/>
    <w:rsid w:val="0043142A"/>
    <w:rsid w:val="00466070"/>
    <w:rsid w:val="004C61FF"/>
    <w:rsid w:val="004E3D68"/>
    <w:rsid w:val="004E729C"/>
    <w:rsid w:val="00504E9D"/>
    <w:rsid w:val="00530B7C"/>
    <w:rsid w:val="0053275E"/>
    <w:rsid w:val="0053396C"/>
    <w:rsid w:val="00544062"/>
    <w:rsid w:val="005443F1"/>
    <w:rsid w:val="00547A6E"/>
    <w:rsid w:val="00550E09"/>
    <w:rsid w:val="00583F3E"/>
    <w:rsid w:val="00593B3C"/>
    <w:rsid w:val="005972BE"/>
    <w:rsid w:val="005A47F7"/>
    <w:rsid w:val="005B47E4"/>
    <w:rsid w:val="005E4AA3"/>
    <w:rsid w:val="005E7BBB"/>
    <w:rsid w:val="005F70B5"/>
    <w:rsid w:val="006437DF"/>
    <w:rsid w:val="006532F0"/>
    <w:rsid w:val="00653791"/>
    <w:rsid w:val="00656111"/>
    <w:rsid w:val="00665279"/>
    <w:rsid w:val="006668E3"/>
    <w:rsid w:val="00690E1C"/>
    <w:rsid w:val="006A1249"/>
    <w:rsid w:val="006A2B5B"/>
    <w:rsid w:val="006A445E"/>
    <w:rsid w:val="006B6E39"/>
    <w:rsid w:val="006C23EC"/>
    <w:rsid w:val="006D20B6"/>
    <w:rsid w:val="006D6590"/>
    <w:rsid w:val="006E738C"/>
    <w:rsid w:val="00720046"/>
    <w:rsid w:val="0075029C"/>
    <w:rsid w:val="007A21BB"/>
    <w:rsid w:val="007C3978"/>
    <w:rsid w:val="007D00E5"/>
    <w:rsid w:val="008172BE"/>
    <w:rsid w:val="008202F9"/>
    <w:rsid w:val="008219E0"/>
    <w:rsid w:val="00891A69"/>
    <w:rsid w:val="008A129F"/>
    <w:rsid w:val="008B0423"/>
    <w:rsid w:val="008B70E9"/>
    <w:rsid w:val="008C6692"/>
    <w:rsid w:val="008D22ED"/>
    <w:rsid w:val="008E1418"/>
    <w:rsid w:val="009238DE"/>
    <w:rsid w:val="009572FF"/>
    <w:rsid w:val="00960398"/>
    <w:rsid w:val="00983CD4"/>
    <w:rsid w:val="009B0F72"/>
    <w:rsid w:val="009C04E6"/>
    <w:rsid w:val="009C71DF"/>
    <w:rsid w:val="00A1291C"/>
    <w:rsid w:val="00A33597"/>
    <w:rsid w:val="00A461F6"/>
    <w:rsid w:val="00A51846"/>
    <w:rsid w:val="00AC2C68"/>
    <w:rsid w:val="00AD2386"/>
    <w:rsid w:val="00AF551E"/>
    <w:rsid w:val="00AF768D"/>
    <w:rsid w:val="00B00FF1"/>
    <w:rsid w:val="00B04633"/>
    <w:rsid w:val="00B25DF3"/>
    <w:rsid w:val="00B578C9"/>
    <w:rsid w:val="00B6504D"/>
    <w:rsid w:val="00B72375"/>
    <w:rsid w:val="00BA0C37"/>
    <w:rsid w:val="00BA14E8"/>
    <w:rsid w:val="00BB0B0F"/>
    <w:rsid w:val="00BC267C"/>
    <w:rsid w:val="00BC355F"/>
    <w:rsid w:val="00C21577"/>
    <w:rsid w:val="00C228D6"/>
    <w:rsid w:val="00C3321C"/>
    <w:rsid w:val="00C53D3D"/>
    <w:rsid w:val="00C96177"/>
    <w:rsid w:val="00CA4BE3"/>
    <w:rsid w:val="00CB432D"/>
    <w:rsid w:val="00CE6DD1"/>
    <w:rsid w:val="00CE7C5D"/>
    <w:rsid w:val="00CF2DD9"/>
    <w:rsid w:val="00D04A37"/>
    <w:rsid w:val="00D17FB7"/>
    <w:rsid w:val="00D236A6"/>
    <w:rsid w:val="00D342FB"/>
    <w:rsid w:val="00D377AB"/>
    <w:rsid w:val="00D43C00"/>
    <w:rsid w:val="00D44F7C"/>
    <w:rsid w:val="00D81D8F"/>
    <w:rsid w:val="00D8584E"/>
    <w:rsid w:val="00D8603E"/>
    <w:rsid w:val="00DE17AF"/>
    <w:rsid w:val="00E3176D"/>
    <w:rsid w:val="00E50AED"/>
    <w:rsid w:val="00E5362F"/>
    <w:rsid w:val="00E57493"/>
    <w:rsid w:val="00E85172"/>
    <w:rsid w:val="00EA5D35"/>
    <w:rsid w:val="00EC0C57"/>
    <w:rsid w:val="00F714CC"/>
    <w:rsid w:val="00FB4962"/>
    <w:rsid w:val="00FB793D"/>
    <w:rsid w:val="00FC124D"/>
    <w:rsid w:val="00FD7794"/>
    <w:rsid w:val="00FF2ED0"/>
    <w:rsid w:val="00FF5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2E25"/>
  <w15:docId w15:val="{E5B281AF-CCA3-411B-BA05-E6D99C06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522">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779564581">
      <w:bodyDiv w:val="1"/>
      <w:marLeft w:val="0"/>
      <w:marRight w:val="0"/>
      <w:marTop w:val="0"/>
      <w:marBottom w:val="0"/>
      <w:divBdr>
        <w:top w:val="none" w:sz="0" w:space="0" w:color="auto"/>
        <w:left w:val="none" w:sz="0" w:space="0" w:color="auto"/>
        <w:bottom w:val="none" w:sz="0" w:space="0" w:color="auto"/>
        <w:right w:val="none" w:sz="0" w:space="0" w:color="auto"/>
      </w:divBdr>
    </w:div>
    <w:div w:id="895120717">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758594420">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BAA2-49DD-4457-BA9B-47F7CF69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Pages>
  <Words>3723</Words>
  <Characters>22339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Marta Miziołek</cp:lastModifiedBy>
  <cp:revision>38</cp:revision>
  <cp:lastPrinted>2022-03-28T09:38:00Z</cp:lastPrinted>
  <dcterms:created xsi:type="dcterms:W3CDTF">2020-03-24T09:17:00Z</dcterms:created>
  <dcterms:modified xsi:type="dcterms:W3CDTF">2026-05-05T09:58:00Z</dcterms:modified>
</cp:coreProperties>
</file>