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E454" w14:textId="77777777" w:rsidR="005736B4" w:rsidRDefault="005F09CA">
      <w:pPr>
        <w:pStyle w:val="Standard"/>
        <w:ind w:left="4956" w:firstLine="708"/>
        <w:rPr>
          <w:b/>
          <w:color w:val="2E2014"/>
          <w:sz w:val="24"/>
          <w:szCs w:val="24"/>
        </w:rPr>
      </w:pPr>
      <w:r>
        <w:rPr>
          <w:b/>
          <w:color w:val="2E2014"/>
          <w:sz w:val="24"/>
          <w:szCs w:val="24"/>
        </w:rPr>
        <w:t>INFORMACJA DODATKOWA</w:t>
      </w:r>
    </w:p>
    <w:p w14:paraId="63D02F39" w14:textId="77777777" w:rsidR="005736B4" w:rsidRDefault="005736B4">
      <w:pPr>
        <w:pStyle w:val="Standard"/>
        <w:rPr>
          <w:b/>
          <w:color w:val="2E2014"/>
          <w:sz w:val="24"/>
          <w:szCs w:val="24"/>
        </w:rPr>
      </w:pPr>
    </w:p>
    <w:tbl>
      <w:tblPr>
        <w:tblW w:w="5000" w:type="pct"/>
        <w:tblCellMar>
          <w:left w:w="10" w:type="dxa"/>
          <w:right w:w="10" w:type="dxa"/>
        </w:tblCellMar>
        <w:tblLook w:val="04A0" w:firstRow="1" w:lastRow="0" w:firstColumn="1" w:lastColumn="0" w:noHBand="0" w:noVBand="1"/>
      </w:tblPr>
      <w:tblGrid>
        <w:gridCol w:w="571"/>
        <w:gridCol w:w="14555"/>
      </w:tblGrid>
      <w:tr w:rsidR="005736B4" w14:paraId="77965032"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44B08D33" w14:textId="77777777" w:rsidR="005736B4" w:rsidRDefault="005F09CA">
            <w:pPr>
              <w:pStyle w:val="Standard"/>
              <w:spacing w:after="0" w:line="100" w:lineRule="atLeast"/>
              <w:rPr>
                <w:b/>
                <w:sz w:val="20"/>
                <w:szCs w:val="20"/>
              </w:rPr>
            </w:pPr>
            <w:r>
              <w:rPr>
                <w:b/>
                <w:sz w:val="20"/>
                <w:szCs w:val="20"/>
              </w:rPr>
              <w:t>I.</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5C228" w14:textId="77777777" w:rsidR="005736B4" w:rsidRDefault="005F09CA">
            <w:pPr>
              <w:pStyle w:val="Standard"/>
              <w:spacing w:after="0" w:line="100" w:lineRule="atLeast"/>
              <w:rPr>
                <w:b/>
                <w:bCs/>
                <w:color w:val="2E2014"/>
                <w:sz w:val="20"/>
                <w:szCs w:val="20"/>
              </w:rPr>
            </w:pPr>
            <w:r>
              <w:rPr>
                <w:b/>
                <w:bCs/>
                <w:color w:val="2E2014"/>
                <w:sz w:val="20"/>
                <w:szCs w:val="20"/>
              </w:rPr>
              <w:t>Wprowadzenie do sprawozdania finansowego, obejmuje w szczególności:</w:t>
            </w:r>
          </w:p>
        </w:tc>
      </w:tr>
      <w:tr w:rsidR="005736B4" w14:paraId="1521D973"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5C8F7BEF" w14:textId="77777777" w:rsidR="005736B4" w:rsidRDefault="005F09CA">
            <w:pPr>
              <w:pStyle w:val="Standard"/>
              <w:spacing w:after="0" w:line="100" w:lineRule="atLeast"/>
              <w:rPr>
                <w:sz w:val="20"/>
                <w:szCs w:val="20"/>
              </w:rPr>
            </w:pPr>
            <w:r>
              <w:rPr>
                <w:sz w:val="20"/>
                <w:szCs w:val="20"/>
              </w:rPr>
              <w:t>1.</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25DB7" w14:textId="77777777" w:rsidR="005736B4" w:rsidRDefault="005736B4">
            <w:pPr>
              <w:pStyle w:val="Standard"/>
              <w:snapToGrid w:val="0"/>
              <w:spacing w:after="0" w:line="100" w:lineRule="atLeast"/>
              <w:rPr>
                <w:b/>
                <w:sz w:val="24"/>
                <w:szCs w:val="24"/>
              </w:rPr>
            </w:pPr>
          </w:p>
        </w:tc>
      </w:tr>
      <w:tr w:rsidR="005736B4" w14:paraId="1110566A"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4E9FCB72" w14:textId="77777777" w:rsidR="005736B4" w:rsidRDefault="005F09CA">
            <w:pPr>
              <w:pStyle w:val="Standard"/>
              <w:spacing w:after="0" w:line="100" w:lineRule="atLeast"/>
              <w:rPr>
                <w:sz w:val="20"/>
                <w:szCs w:val="20"/>
              </w:rPr>
            </w:pPr>
            <w:r>
              <w:rPr>
                <w:sz w:val="20"/>
                <w:szCs w:val="20"/>
              </w:rPr>
              <w:t>1.1</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CB6DE" w14:textId="77777777" w:rsidR="005736B4" w:rsidRDefault="005F09CA">
            <w:pPr>
              <w:pStyle w:val="Standard"/>
              <w:spacing w:after="0" w:line="100" w:lineRule="atLeast"/>
              <w:rPr>
                <w:color w:val="2E2014"/>
                <w:sz w:val="20"/>
                <w:szCs w:val="20"/>
              </w:rPr>
            </w:pPr>
            <w:r>
              <w:rPr>
                <w:color w:val="2E2014"/>
                <w:sz w:val="20"/>
                <w:szCs w:val="20"/>
              </w:rPr>
              <w:t>nazwę jednostki</w:t>
            </w:r>
          </w:p>
        </w:tc>
      </w:tr>
      <w:tr w:rsidR="005736B4" w14:paraId="126F116D"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3ACFEC56" w14:textId="77777777" w:rsidR="005736B4" w:rsidRDefault="005736B4">
            <w:pPr>
              <w:pStyle w:val="Standard"/>
              <w:snapToGrid w:val="0"/>
              <w:spacing w:after="0" w:line="100" w:lineRule="atLeast"/>
              <w:rPr>
                <w:b/>
                <w:sz w:val="24"/>
                <w:szCs w:val="24"/>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A7230" w14:textId="77777777" w:rsidR="005736B4" w:rsidRDefault="005736B4">
            <w:pPr>
              <w:pStyle w:val="Standard"/>
              <w:snapToGrid w:val="0"/>
              <w:spacing w:after="0" w:line="100" w:lineRule="atLeast"/>
              <w:rPr>
                <w:rFonts w:ascii="Arial Narrow" w:hAnsi="Arial Narrow" w:cs="Arial Narrow"/>
                <w:b/>
                <w:sz w:val="24"/>
                <w:szCs w:val="24"/>
              </w:rPr>
            </w:pPr>
          </w:p>
          <w:p w14:paraId="06EB7834" w14:textId="6866EF3E" w:rsidR="005736B4" w:rsidRDefault="005F09CA">
            <w:pPr>
              <w:pStyle w:val="Standard"/>
              <w:spacing w:after="0" w:line="100" w:lineRule="atLeast"/>
              <w:rPr>
                <w:rFonts w:ascii="Arial Narrow" w:hAnsi="Arial Narrow" w:cs="Arial Narrow"/>
                <w:b/>
              </w:rPr>
            </w:pPr>
            <w:r>
              <w:rPr>
                <w:rFonts w:ascii="Arial Narrow" w:hAnsi="Arial Narrow" w:cs="Arial Narrow"/>
                <w:b/>
              </w:rPr>
              <w:t xml:space="preserve">Przedszkole Publiczne nr </w:t>
            </w:r>
            <w:r w:rsidR="0083553C">
              <w:rPr>
                <w:rFonts w:ascii="Arial Narrow" w:hAnsi="Arial Narrow" w:cs="Arial Narrow"/>
                <w:b/>
              </w:rPr>
              <w:t>35</w:t>
            </w:r>
          </w:p>
        </w:tc>
      </w:tr>
      <w:tr w:rsidR="005736B4" w14:paraId="799F6E0D"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49FC2E5B" w14:textId="77777777" w:rsidR="005736B4" w:rsidRDefault="005F09CA">
            <w:pPr>
              <w:pStyle w:val="Standard"/>
              <w:spacing w:after="0" w:line="100" w:lineRule="atLeast"/>
              <w:rPr>
                <w:sz w:val="20"/>
                <w:szCs w:val="20"/>
              </w:rPr>
            </w:pPr>
            <w:r>
              <w:rPr>
                <w:sz w:val="20"/>
                <w:szCs w:val="20"/>
              </w:rPr>
              <w:t>1.2</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B35E4" w14:textId="77777777" w:rsidR="005736B4" w:rsidRDefault="005F09CA">
            <w:pPr>
              <w:pStyle w:val="Standard"/>
              <w:spacing w:after="0" w:line="100" w:lineRule="atLeast"/>
              <w:rPr>
                <w:color w:val="2E2014"/>
                <w:sz w:val="20"/>
                <w:szCs w:val="20"/>
              </w:rPr>
            </w:pPr>
            <w:r>
              <w:rPr>
                <w:color w:val="2E2014"/>
                <w:sz w:val="20"/>
                <w:szCs w:val="20"/>
              </w:rPr>
              <w:t>siedzibę jednostki</w:t>
            </w:r>
          </w:p>
        </w:tc>
      </w:tr>
      <w:tr w:rsidR="005736B4" w14:paraId="7632B9F3"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744DDD15" w14:textId="77777777" w:rsidR="005736B4" w:rsidRDefault="005736B4">
            <w:pPr>
              <w:pStyle w:val="Standard"/>
              <w:snapToGrid w:val="0"/>
              <w:spacing w:after="0" w:line="100" w:lineRule="atLeast"/>
              <w:rPr>
                <w:b/>
                <w:sz w:val="24"/>
                <w:szCs w:val="24"/>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77247" w14:textId="77777777" w:rsidR="005736B4" w:rsidRDefault="005736B4">
            <w:pPr>
              <w:pStyle w:val="Standard"/>
              <w:snapToGrid w:val="0"/>
              <w:spacing w:after="0" w:line="100" w:lineRule="atLeast"/>
              <w:rPr>
                <w:b/>
                <w:sz w:val="24"/>
                <w:szCs w:val="24"/>
              </w:rPr>
            </w:pPr>
          </w:p>
          <w:p w14:paraId="0657ED2E" w14:textId="50D8C2D3" w:rsidR="005736B4" w:rsidRDefault="005F09CA">
            <w:pPr>
              <w:pStyle w:val="Standard"/>
              <w:spacing w:after="0" w:line="100" w:lineRule="atLeast"/>
              <w:rPr>
                <w:b/>
                <w:sz w:val="24"/>
                <w:szCs w:val="24"/>
              </w:rPr>
            </w:pPr>
            <w:r>
              <w:rPr>
                <w:b/>
                <w:sz w:val="24"/>
                <w:szCs w:val="24"/>
              </w:rPr>
              <w:t xml:space="preserve">Włocławek, ul. </w:t>
            </w:r>
            <w:r w:rsidR="0083553C">
              <w:rPr>
                <w:b/>
                <w:sz w:val="24"/>
                <w:szCs w:val="24"/>
              </w:rPr>
              <w:t>14 Pułku Piechoty 5</w:t>
            </w:r>
          </w:p>
        </w:tc>
      </w:tr>
      <w:tr w:rsidR="005736B4" w14:paraId="0C0BB923"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1314A0FB" w14:textId="77777777" w:rsidR="005736B4" w:rsidRDefault="005F09CA">
            <w:pPr>
              <w:pStyle w:val="Standard"/>
              <w:spacing w:after="0" w:line="100" w:lineRule="atLeast"/>
              <w:rPr>
                <w:sz w:val="20"/>
                <w:szCs w:val="20"/>
              </w:rPr>
            </w:pPr>
            <w:r>
              <w:rPr>
                <w:sz w:val="20"/>
                <w:szCs w:val="20"/>
              </w:rPr>
              <w:t>1.3</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80D9" w14:textId="77777777" w:rsidR="005736B4" w:rsidRDefault="005F09CA">
            <w:pPr>
              <w:pStyle w:val="Standard"/>
              <w:spacing w:after="0" w:line="100" w:lineRule="atLeast"/>
              <w:rPr>
                <w:color w:val="2E2014"/>
                <w:sz w:val="20"/>
                <w:szCs w:val="20"/>
              </w:rPr>
            </w:pPr>
            <w:r>
              <w:rPr>
                <w:color w:val="2E2014"/>
                <w:sz w:val="20"/>
                <w:szCs w:val="20"/>
              </w:rPr>
              <w:t>adres jednostki</w:t>
            </w:r>
          </w:p>
        </w:tc>
      </w:tr>
      <w:tr w:rsidR="005736B4" w14:paraId="0F56D142"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38CA1EF3" w14:textId="77777777" w:rsidR="005736B4" w:rsidRDefault="005736B4">
            <w:pPr>
              <w:pStyle w:val="Standard"/>
              <w:snapToGrid w:val="0"/>
              <w:spacing w:after="0" w:line="100" w:lineRule="atLeast"/>
              <w:rPr>
                <w:b/>
                <w:sz w:val="24"/>
                <w:szCs w:val="24"/>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222B3" w14:textId="77777777" w:rsidR="005736B4" w:rsidRDefault="005736B4">
            <w:pPr>
              <w:pStyle w:val="Standard"/>
              <w:snapToGrid w:val="0"/>
              <w:spacing w:after="0" w:line="100" w:lineRule="atLeast"/>
              <w:rPr>
                <w:rFonts w:ascii="Arial Narrow" w:hAnsi="Arial Narrow" w:cs="Arial Narrow"/>
                <w:b/>
                <w:sz w:val="24"/>
                <w:szCs w:val="24"/>
              </w:rPr>
            </w:pPr>
          </w:p>
          <w:p w14:paraId="7BC9FF5F" w14:textId="5D553A60" w:rsidR="005736B4" w:rsidRDefault="005F09CA">
            <w:pPr>
              <w:pStyle w:val="Standard"/>
              <w:spacing w:after="0" w:line="100" w:lineRule="atLeast"/>
            </w:pPr>
            <w:r>
              <w:rPr>
                <w:rFonts w:ascii="Arial Narrow" w:hAnsi="Arial Narrow" w:cs="Arial Narrow"/>
                <w:b/>
                <w:sz w:val="24"/>
                <w:szCs w:val="24"/>
              </w:rPr>
              <w:t xml:space="preserve">Włocławek, </w:t>
            </w:r>
            <w:r w:rsidR="0083553C">
              <w:rPr>
                <w:b/>
                <w:sz w:val="24"/>
                <w:szCs w:val="24"/>
              </w:rPr>
              <w:t>ul. 14 Pułku Piechoty 5</w:t>
            </w:r>
          </w:p>
        </w:tc>
      </w:tr>
      <w:tr w:rsidR="005736B4" w14:paraId="597FEED2"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10A67A44" w14:textId="77777777" w:rsidR="005736B4" w:rsidRDefault="005F09CA">
            <w:pPr>
              <w:pStyle w:val="Standard"/>
              <w:spacing w:after="0" w:line="100" w:lineRule="atLeast"/>
              <w:rPr>
                <w:sz w:val="20"/>
                <w:szCs w:val="20"/>
              </w:rPr>
            </w:pPr>
            <w:r>
              <w:rPr>
                <w:sz w:val="20"/>
                <w:szCs w:val="20"/>
              </w:rPr>
              <w:t>1.4</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D3966" w14:textId="77777777" w:rsidR="005736B4" w:rsidRDefault="005F09CA">
            <w:pPr>
              <w:pStyle w:val="Standard"/>
              <w:spacing w:after="0" w:line="100" w:lineRule="atLeast"/>
              <w:rPr>
                <w:color w:val="2E2014"/>
                <w:sz w:val="20"/>
                <w:szCs w:val="20"/>
              </w:rPr>
            </w:pPr>
            <w:r>
              <w:rPr>
                <w:color w:val="2E2014"/>
                <w:sz w:val="20"/>
                <w:szCs w:val="20"/>
              </w:rPr>
              <w:t>podstawowy przedmiot działalności jednostki</w:t>
            </w:r>
          </w:p>
        </w:tc>
      </w:tr>
      <w:tr w:rsidR="005736B4" w14:paraId="154E391F" w14:textId="77777777" w:rsidTr="00E302FF">
        <w:trPr>
          <w:trHeight w:val="716"/>
        </w:trPr>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1BF9D64B" w14:textId="77777777" w:rsidR="005736B4" w:rsidRDefault="005736B4">
            <w:pPr>
              <w:pStyle w:val="Standard"/>
              <w:snapToGrid w:val="0"/>
              <w:spacing w:after="0" w:line="100" w:lineRule="atLeast"/>
              <w:rPr>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EB337" w14:textId="7C3C4632" w:rsidR="005736B4" w:rsidRDefault="005F09CA" w:rsidP="00E903EB">
            <w:pPr>
              <w:pStyle w:val="Standard"/>
              <w:spacing w:after="0" w:line="100" w:lineRule="atLeast"/>
              <w:jc w:val="both"/>
              <w:rPr>
                <w:rFonts w:ascii="Arial Narrow" w:hAnsi="Arial Narrow" w:cs="Arial Narrow"/>
                <w:b/>
                <w:sz w:val="24"/>
                <w:szCs w:val="24"/>
              </w:rPr>
            </w:pPr>
            <w:r>
              <w:rPr>
                <w:rFonts w:ascii="Arial Narrow" w:hAnsi="Arial Narrow" w:cs="Arial Narrow"/>
                <w:b/>
                <w:sz w:val="24"/>
                <w:szCs w:val="24"/>
              </w:rPr>
              <w:t xml:space="preserve">Podstawę prawną działalności Przedszkola Publicznego Nr </w:t>
            </w:r>
            <w:r w:rsidR="0083553C">
              <w:rPr>
                <w:rFonts w:ascii="Arial Narrow" w:hAnsi="Arial Narrow" w:cs="Arial Narrow"/>
                <w:b/>
                <w:sz w:val="24"/>
                <w:szCs w:val="24"/>
              </w:rPr>
              <w:t>35</w:t>
            </w:r>
            <w:r>
              <w:rPr>
                <w:rFonts w:ascii="Arial Narrow" w:hAnsi="Arial Narrow" w:cs="Arial Narrow"/>
                <w:b/>
                <w:sz w:val="24"/>
                <w:szCs w:val="24"/>
              </w:rPr>
              <w:t xml:space="preserve"> stanowi ustawa z dnia 14 grudnia 2016 r. Prawo Oświatowe (tekst jednolity Dz. U. z 2017 r. poz. 59) oraz wydane do niej przepisy wykonawcze oraz Statut Przedszkola Publicznego Nr </w:t>
            </w:r>
            <w:r w:rsidR="0083553C">
              <w:rPr>
                <w:rFonts w:ascii="Arial Narrow" w:hAnsi="Arial Narrow" w:cs="Arial Narrow"/>
                <w:b/>
                <w:sz w:val="24"/>
                <w:szCs w:val="24"/>
              </w:rPr>
              <w:t>35</w:t>
            </w:r>
            <w:r>
              <w:rPr>
                <w:rFonts w:ascii="Arial Narrow" w:hAnsi="Arial Narrow" w:cs="Arial Narrow"/>
                <w:b/>
                <w:sz w:val="24"/>
                <w:szCs w:val="24"/>
              </w:rPr>
              <w:t>.</w:t>
            </w:r>
          </w:p>
        </w:tc>
      </w:tr>
      <w:tr w:rsidR="005736B4" w14:paraId="0D7FDCE0"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74F22291" w14:textId="77777777" w:rsidR="005736B4" w:rsidRDefault="005F09CA">
            <w:pPr>
              <w:pStyle w:val="Standard"/>
              <w:spacing w:after="0" w:line="100" w:lineRule="atLeast"/>
              <w:rPr>
                <w:sz w:val="20"/>
                <w:szCs w:val="20"/>
              </w:rPr>
            </w:pPr>
            <w:r>
              <w:rPr>
                <w:sz w:val="20"/>
                <w:szCs w:val="20"/>
              </w:rPr>
              <w:t>2.</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4F962" w14:textId="77777777" w:rsidR="005736B4" w:rsidRDefault="005F09CA">
            <w:pPr>
              <w:pStyle w:val="Standard"/>
              <w:spacing w:after="0" w:line="100" w:lineRule="atLeast"/>
              <w:rPr>
                <w:color w:val="2E2014"/>
                <w:sz w:val="20"/>
                <w:szCs w:val="20"/>
              </w:rPr>
            </w:pPr>
            <w:r>
              <w:rPr>
                <w:color w:val="2E2014"/>
                <w:sz w:val="20"/>
                <w:szCs w:val="20"/>
              </w:rPr>
              <w:t>wskazanie okresu objętego sprawozdaniem</w:t>
            </w:r>
          </w:p>
        </w:tc>
      </w:tr>
      <w:tr w:rsidR="005736B4" w14:paraId="560C210B" w14:textId="77777777" w:rsidTr="00E302FF">
        <w:trPr>
          <w:trHeight w:val="396"/>
        </w:trPr>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7D4940A8" w14:textId="77777777" w:rsidR="005736B4" w:rsidRDefault="005736B4">
            <w:pPr>
              <w:pStyle w:val="Standard"/>
              <w:snapToGrid w:val="0"/>
              <w:spacing w:after="0" w:line="100" w:lineRule="atLeast"/>
              <w:rPr>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27193" w14:textId="22F46751" w:rsidR="005736B4" w:rsidRDefault="005F09CA">
            <w:pPr>
              <w:pStyle w:val="Standard"/>
              <w:spacing w:after="0" w:line="100" w:lineRule="atLeast"/>
              <w:rPr>
                <w:rFonts w:ascii="Arial Narrow" w:hAnsi="Arial Narrow" w:cs="Arial Narrow"/>
                <w:b/>
              </w:rPr>
            </w:pPr>
            <w:r>
              <w:rPr>
                <w:rFonts w:ascii="Arial Narrow" w:hAnsi="Arial Narrow" w:cs="Arial Narrow"/>
                <w:b/>
              </w:rPr>
              <w:t>01 stycznia 202</w:t>
            </w:r>
            <w:r w:rsidR="007F1824">
              <w:rPr>
                <w:rFonts w:ascii="Arial Narrow" w:hAnsi="Arial Narrow" w:cs="Arial Narrow"/>
                <w:b/>
              </w:rPr>
              <w:t>5</w:t>
            </w:r>
            <w:r>
              <w:rPr>
                <w:rFonts w:ascii="Arial Narrow" w:hAnsi="Arial Narrow" w:cs="Arial Narrow"/>
                <w:b/>
              </w:rPr>
              <w:t xml:space="preserve"> - 31 grudnia 202</w:t>
            </w:r>
            <w:r w:rsidR="007F1824">
              <w:rPr>
                <w:rFonts w:ascii="Arial Narrow" w:hAnsi="Arial Narrow" w:cs="Arial Narrow"/>
                <w:b/>
              </w:rPr>
              <w:t>5</w:t>
            </w:r>
          </w:p>
        </w:tc>
      </w:tr>
      <w:tr w:rsidR="005736B4" w14:paraId="4606262D"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2A5C7A97" w14:textId="77777777" w:rsidR="005736B4" w:rsidRDefault="005F09CA">
            <w:pPr>
              <w:pStyle w:val="Standard"/>
              <w:spacing w:after="0" w:line="100" w:lineRule="atLeast"/>
              <w:rPr>
                <w:sz w:val="20"/>
                <w:szCs w:val="20"/>
              </w:rPr>
            </w:pPr>
            <w:r>
              <w:rPr>
                <w:sz w:val="20"/>
                <w:szCs w:val="20"/>
              </w:rPr>
              <w:t>3.</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7B34B" w14:textId="77777777" w:rsidR="005736B4" w:rsidRDefault="005F09CA">
            <w:pPr>
              <w:pStyle w:val="Standard"/>
              <w:spacing w:after="0" w:line="100" w:lineRule="atLeast"/>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5736B4" w14:paraId="3420D801"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74F375B2" w14:textId="77777777" w:rsidR="005736B4" w:rsidRDefault="005736B4">
            <w:pPr>
              <w:pStyle w:val="Standard"/>
              <w:snapToGrid w:val="0"/>
              <w:spacing w:after="0" w:line="100" w:lineRule="atLeast"/>
              <w:rPr>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1657" w14:textId="77777777" w:rsidR="005736B4" w:rsidRDefault="005F09CA">
            <w:pPr>
              <w:pStyle w:val="Standard"/>
              <w:spacing w:after="0" w:line="100" w:lineRule="atLeast"/>
              <w:rPr>
                <w:b/>
                <w:sz w:val="24"/>
                <w:szCs w:val="24"/>
              </w:rPr>
            </w:pPr>
            <w:r>
              <w:rPr>
                <w:b/>
                <w:sz w:val="24"/>
                <w:szCs w:val="24"/>
              </w:rPr>
              <w:t>Brak danych</w:t>
            </w:r>
          </w:p>
        </w:tc>
      </w:tr>
      <w:tr w:rsidR="005736B4" w14:paraId="1459395B"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6B0B7461" w14:textId="77777777" w:rsidR="005736B4" w:rsidRDefault="005F09CA">
            <w:pPr>
              <w:pStyle w:val="Standard"/>
              <w:spacing w:after="0" w:line="100" w:lineRule="atLeast"/>
              <w:rPr>
                <w:sz w:val="20"/>
                <w:szCs w:val="20"/>
              </w:rPr>
            </w:pPr>
            <w:r>
              <w:rPr>
                <w:sz w:val="20"/>
                <w:szCs w:val="20"/>
              </w:rPr>
              <w:t>4.</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C9B29" w14:textId="77777777" w:rsidR="005736B4" w:rsidRDefault="005F09CA">
            <w:pPr>
              <w:pStyle w:val="Standard"/>
              <w:spacing w:after="0" w:line="100" w:lineRule="atLeast"/>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5736B4" w14:paraId="2816A091"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3DFA1A25" w14:textId="77777777" w:rsidR="005736B4" w:rsidRDefault="005736B4">
            <w:pPr>
              <w:pStyle w:val="Standard"/>
              <w:snapToGrid w:val="0"/>
              <w:spacing w:after="0" w:line="100" w:lineRule="atLeast"/>
              <w:rPr>
                <w:b/>
                <w:sz w:val="24"/>
                <w:szCs w:val="24"/>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9DF39" w14:textId="4882CDCE" w:rsidR="005736B4" w:rsidRDefault="005F09CA" w:rsidP="00EE4C97">
            <w:pPr>
              <w:pStyle w:val="Standard"/>
              <w:spacing w:after="0" w:line="100" w:lineRule="atLeast"/>
              <w:ind w:left="196" w:hanging="196"/>
              <w:jc w:val="both"/>
            </w:pPr>
            <w:r>
              <w:rPr>
                <w:rFonts w:ascii="Arial Narrow" w:hAnsi="Arial Narrow" w:cs="Arial Narrow"/>
                <w:b/>
              </w:rPr>
              <w:t>I</w:t>
            </w:r>
            <w:r>
              <w:rPr>
                <w:rFonts w:ascii="Arial Narrow" w:hAnsi="Arial Narrow" w:cs="Arial Narrow"/>
              </w:rPr>
              <w:t>. Aktywa i pasywa wyceniane są przy uwzględnieniu nadrzędnych zasad rachunkowości, w sposób przewidziany ustawą o rachunkowości, z uwzględnieniem przepisów ustawy o</w:t>
            </w:r>
            <w:r w:rsidR="00EE4C97">
              <w:rPr>
                <w:rFonts w:ascii="Arial Narrow" w:hAnsi="Arial Narrow" w:cs="Arial Narrow"/>
              </w:rPr>
              <w:t> </w:t>
            </w:r>
            <w:r>
              <w:rPr>
                <w:rFonts w:ascii="Arial Narrow" w:hAnsi="Arial Narrow" w:cs="Arial Narrow"/>
              </w:rPr>
              <w:t>finansach publicznych i rozporządzenia MF w sprawie rachunkowości oraz planów kont dla budżetu państwa, budżetów jednostek samorządu terytorialnego. Przyjęto następujące ustalenia:</w:t>
            </w:r>
          </w:p>
          <w:p w14:paraId="6185691E" w14:textId="777F6DEE"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w:t>
            </w:r>
            <w:r w:rsidR="00EE4C97">
              <w:rPr>
                <w:rFonts w:ascii="Arial Narrow" w:hAnsi="Arial Narrow" w:cs="Arial Narrow"/>
              </w:rPr>
              <w:t> </w:t>
            </w:r>
            <w:r>
              <w:rPr>
                <w:rFonts w:ascii="Arial Narrow" w:hAnsi="Arial Narrow" w:cs="Arial Narrow"/>
              </w:rPr>
              <w:t>w</w:t>
            </w:r>
            <w:r w:rsidR="00EE4C97">
              <w:rPr>
                <w:rFonts w:ascii="Arial Narrow" w:hAnsi="Arial Narrow" w:cs="Arial Narrow"/>
              </w:rPr>
              <w:t> </w:t>
            </w:r>
            <w:r>
              <w:rPr>
                <w:rFonts w:ascii="Arial Narrow" w:hAnsi="Arial Narrow" w:cs="Arial Narrow"/>
              </w:rPr>
              <w:t>wartości określonej w tej decyzji.</w:t>
            </w:r>
          </w:p>
          <w:p w14:paraId="561E94D0"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2. Środki trwałe w budowie wycenia się w wysokości ogółu kosztów pozostających w bezpośrednim związku z ich wytworzeniem.</w:t>
            </w:r>
          </w:p>
          <w:p w14:paraId="6E3FE57F" w14:textId="6FEBB330"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3. Inwestycje krótkoterminowe wycenia się według ceny (wartości) rynkowej albo według ceny nabycia lub ceny (wartości) rynkowej, zależnie od tego, która z nich jest niższa, albo</w:t>
            </w:r>
            <w:r w:rsidR="00EE4C97">
              <w:rPr>
                <w:rFonts w:ascii="Arial Narrow" w:hAnsi="Arial Narrow" w:cs="Arial Narrow"/>
              </w:rPr>
              <w:t> </w:t>
            </w:r>
            <w:r>
              <w:rPr>
                <w:rFonts w:ascii="Arial Narrow" w:hAnsi="Arial Narrow" w:cs="Arial Narrow"/>
              </w:rPr>
              <w:t>według skorygowanej ceny nabycia – jeżeli dla danego składnika aktywów został określony termin wymagalności, a krótkoterminowe inwestycje, dla których nie istnieje aktywny rynek, w inny sposób określonej godziwej wartości.</w:t>
            </w:r>
          </w:p>
          <w:p w14:paraId="24543598"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4. Rzeczowe składniki aktywów obrotowych wycenia się według cen nabycia lub kosztów wytworzenia nie wyższych od cen sprzedaży netto na dzień bilansowy.</w:t>
            </w:r>
          </w:p>
          <w:p w14:paraId="4D98D6D1"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5. Należności wycenia się w kwocie wymagalnej zapłaty z zachowaniem zasady ostrożności.</w:t>
            </w:r>
          </w:p>
          <w:p w14:paraId="7B75FE84"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6. Zobowiązania wycenia się w kwocie wymagającej zapłaty.</w:t>
            </w:r>
          </w:p>
          <w:p w14:paraId="78B2120C"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7. Rezerwy wycenia się w uzasadnionej, wiarygodnie oszacowanej wartości.</w:t>
            </w:r>
          </w:p>
          <w:p w14:paraId="626B5F8D"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 Uzasadnia to dokonanie odpisu aktualizującego doprowadzającego wartość składnika aktywów, wynikającą z ksiąg rachunkowych do ceny sprzedaży netto a w przypadku jej braku – do ustalonej w inny sposób wartości godziwej.</w:t>
            </w:r>
          </w:p>
          <w:p w14:paraId="4C3D948A" w14:textId="77777777" w:rsidR="005736B4" w:rsidRDefault="005F09CA" w:rsidP="00EE4C97">
            <w:pPr>
              <w:pStyle w:val="Standard"/>
              <w:spacing w:after="0" w:line="100" w:lineRule="atLeast"/>
              <w:ind w:left="376" w:hanging="180"/>
              <w:jc w:val="both"/>
            </w:pPr>
            <w:r>
              <w:rPr>
                <w:rFonts w:ascii="Arial Narrow" w:eastAsia="Arial Narrow" w:hAnsi="Arial Narrow" w:cs="Arial Narrow"/>
              </w:rPr>
              <w:t xml:space="preserve">    </w:t>
            </w:r>
            <w:r>
              <w:rPr>
                <w:rFonts w:ascii="Arial Narrow" w:hAnsi="Arial Narrow" w:cs="Arial Narrow"/>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717856AF" w14:textId="77777777" w:rsidR="005736B4" w:rsidRDefault="005F09CA" w:rsidP="00EE4C97">
            <w:pPr>
              <w:pStyle w:val="Standard"/>
              <w:spacing w:after="0" w:line="100" w:lineRule="atLeast"/>
              <w:jc w:val="both"/>
            </w:pPr>
            <w:r>
              <w:rPr>
                <w:rFonts w:ascii="Arial Narrow" w:hAnsi="Arial Narrow" w:cs="Arial Narrow"/>
                <w:b/>
              </w:rPr>
              <w:t>II</w:t>
            </w:r>
            <w:r>
              <w:rPr>
                <w:rFonts w:ascii="Arial Narrow" w:hAnsi="Arial Narrow" w:cs="Arial Narrow"/>
              </w:rPr>
              <w:t>. Zasady amortyzacji (umorzenia) środków trwałych i wartości niematerialnych i prawnych.</w:t>
            </w:r>
          </w:p>
          <w:p w14:paraId="30A26EA3" w14:textId="77777777" w:rsidR="005736B4" w:rsidRDefault="005F09CA" w:rsidP="00EE4C97">
            <w:pPr>
              <w:pStyle w:val="Standard"/>
              <w:spacing w:after="0" w:line="100" w:lineRule="atLeast"/>
              <w:ind w:left="196"/>
              <w:jc w:val="both"/>
              <w:rPr>
                <w:rFonts w:ascii="Arial Narrow" w:hAnsi="Arial Narrow" w:cs="Arial Narrow"/>
                <w:lang w:eastAsia="pl-PL"/>
              </w:rPr>
            </w:pPr>
            <w:r>
              <w:rPr>
                <w:rFonts w:ascii="Arial Narrow" w:hAnsi="Arial Narrow" w:cs="Arial Narrow"/>
                <w:lang w:eastAsia="pl-PL"/>
              </w:rPr>
              <w:t>Przedmioty o niskiej wartości o przewidywanym okresie używania dłuższym niż rok o wartości jednostkowej poniżej 300 zł odpisuje się w koszty pod datą przekazania do używania w pełnej wartości początkowej, jako zużycie materiałów lub towarów. Kontrolę i ewidencję tych przedmiotów prowadzi się poza księgowo w sposób umożliwiający identyfikację każdego przedmiotu oraz miejsc ich użytkowania (ewidencja prowadzona jest w jednostkach obsługiwanych).</w:t>
            </w:r>
          </w:p>
          <w:p w14:paraId="627B2ED1" w14:textId="77777777" w:rsidR="005736B4" w:rsidRDefault="005F09CA" w:rsidP="00EE4C97">
            <w:pPr>
              <w:pStyle w:val="Standard"/>
              <w:spacing w:after="0" w:line="100" w:lineRule="atLeast"/>
              <w:ind w:left="196"/>
              <w:jc w:val="both"/>
              <w:rPr>
                <w:rFonts w:ascii="Arial Narrow" w:hAnsi="Arial Narrow" w:cs="Arial Narrow"/>
                <w:lang w:eastAsia="pl-PL"/>
              </w:rPr>
            </w:pPr>
            <w:r>
              <w:rPr>
                <w:rFonts w:ascii="Arial Narrow" w:hAnsi="Arial Narrow" w:cs="Arial Narrow"/>
                <w:lang w:eastAsia="pl-PL"/>
              </w:rPr>
              <w:t>Meble, krzesła, dywany, wykładziny ewidencjonowane są na koncie 013 – pozostałe środki trwałe - bez względu na wartość.</w:t>
            </w:r>
          </w:p>
          <w:p w14:paraId="2ABFEC55" w14:textId="77777777" w:rsidR="005736B4" w:rsidRDefault="005F09CA" w:rsidP="00EE4C97">
            <w:pPr>
              <w:pStyle w:val="Standard"/>
              <w:spacing w:after="0" w:line="100" w:lineRule="atLeast"/>
              <w:ind w:left="196"/>
              <w:jc w:val="both"/>
              <w:rPr>
                <w:rFonts w:ascii="Arial Narrow" w:hAnsi="Arial Narrow" w:cs="Arial Narrow"/>
                <w:lang w:eastAsia="pl-PL"/>
              </w:rPr>
            </w:pPr>
            <w:r>
              <w:rPr>
                <w:rFonts w:ascii="Arial Narrow" w:hAnsi="Arial Narrow" w:cs="Arial Narrow"/>
                <w:lang w:eastAsia="pl-PL"/>
              </w:rPr>
              <w:t>Środki dydaktyczne służące procesowi dydaktyczno-wychowawczemu (bez względu na wartość) umarzane jednorazowo ewidencjonuje się na koncie 013 – pozostałe środki trwałe.</w:t>
            </w:r>
          </w:p>
          <w:p w14:paraId="1FDA3BA4"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Przedmioty o okresie używania dłuższym niż rok o wartości od 300 zł do 10.000 zł. umarza się metodą uproszczoną, przez jednorazowy odpis w pełnej ich wartości w miesiącu zakupu i ujmuje się w ewidencji bilansowej na koncie 013 – pozostałe środki trwałe.</w:t>
            </w:r>
          </w:p>
          <w:p w14:paraId="122ED65A"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Ponadto, bez względu na wartość jednorazowo umarza się:</w:t>
            </w:r>
          </w:p>
          <w:p w14:paraId="29E1F105"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1. Książki i inne zbiory biblioteczne.</w:t>
            </w:r>
          </w:p>
          <w:p w14:paraId="5BE81ABE"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2. Środki dydaktyczne służące procesowi dydaktyczno-wychowawczemu realizowanemu w szkołach i placówkach oświatowych.</w:t>
            </w:r>
          </w:p>
          <w:p w14:paraId="7256C143"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3. Meble, dywany i wykładziny.</w:t>
            </w:r>
          </w:p>
          <w:p w14:paraId="05412A2B" w14:textId="5E7F59C6"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4. Pozostałe środki trwałe oraz wartości niematerialne i prawne o wartości nieprzekraczającej wielkości ustalonej w ustawie z dnia 15 lutego 1992 r. o podatku dochodowym od</w:t>
            </w:r>
            <w:r w:rsidR="00EE4C97">
              <w:rPr>
                <w:rFonts w:ascii="Arial Narrow" w:hAnsi="Arial Narrow" w:cs="Arial Narrow"/>
              </w:rPr>
              <w:t> </w:t>
            </w:r>
            <w:r>
              <w:rPr>
                <w:rFonts w:ascii="Arial Narrow" w:hAnsi="Arial Narrow" w:cs="Arial Narrow"/>
              </w:rPr>
              <w:t>osób prawnych, dla których odpisy amortyzacyjne są uznawane za koszt uzyskania przychodu w 100% ich wartości w momencie oddania do używania.</w:t>
            </w:r>
          </w:p>
          <w:p w14:paraId="2FFB6CCB" w14:textId="77777777" w:rsidR="005736B4" w:rsidRDefault="005F09CA" w:rsidP="005F09CA">
            <w:pPr>
              <w:pStyle w:val="Standard"/>
              <w:spacing w:after="0" w:line="100" w:lineRule="atLeast"/>
              <w:ind w:left="376" w:hanging="180"/>
              <w:jc w:val="both"/>
            </w:pPr>
            <w:r>
              <w:rPr>
                <w:rFonts w:ascii="Arial Narrow" w:eastAsia="Arial Narrow" w:hAnsi="Arial Narrow" w:cs="Arial Narrow"/>
              </w:rPr>
              <w:t xml:space="preserve">    </w:t>
            </w:r>
            <w:r>
              <w:rPr>
                <w:rFonts w:ascii="Arial Narrow" w:hAnsi="Arial Narrow" w:cs="Arial Narrow"/>
              </w:rPr>
              <w:t>Przedmioty o wartości powyżej 10.000 zł. zalicza się do środków trwałych i umarza metodą liniową za pomocą stawek amortyzacyjnych określonych w załączniku 1 „Wykaz rocznych stawek amortyzacyjnych” do ustawy 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5B8971EC" w14:textId="77777777" w:rsidR="005736B4" w:rsidRDefault="005F09CA" w:rsidP="005F09CA">
            <w:pPr>
              <w:pStyle w:val="Standard"/>
              <w:spacing w:after="0" w:line="100" w:lineRule="atLeast"/>
              <w:jc w:val="both"/>
            </w:pPr>
            <w:r>
              <w:rPr>
                <w:rFonts w:ascii="Arial Narrow" w:hAnsi="Arial Narrow" w:cs="Arial Narrow"/>
                <w:b/>
                <w:bCs/>
              </w:rPr>
              <w:t>III.</w:t>
            </w:r>
            <w:r>
              <w:rPr>
                <w:rFonts w:ascii="Arial Narrow" w:hAnsi="Arial Narrow" w:cs="Arial Narrow"/>
                <w:bCs/>
              </w:rPr>
              <w:t xml:space="preserve"> Ustala się następujące techniki dokumentowania zapisów księgowych oraz stosowanych uproszczeń:</w:t>
            </w:r>
          </w:p>
          <w:p w14:paraId="42E46431" w14:textId="77777777" w:rsidR="005736B4" w:rsidRDefault="005F09CA" w:rsidP="005F09CA">
            <w:pPr>
              <w:pStyle w:val="Standard"/>
              <w:spacing w:after="0" w:line="100" w:lineRule="atLeast"/>
              <w:ind w:left="196"/>
              <w:jc w:val="both"/>
              <w:rPr>
                <w:rFonts w:ascii="Arial Narrow" w:hAnsi="Arial Narrow" w:cs="Arial Narrow"/>
              </w:rPr>
            </w:pPr>
            <w:r>
              <w:rPr>
                <w:rFonts w:ascii="Arial Narrow" w:hAnsi="Arial Narrow" w:cs="Arial Narrow"/>
              </w:rPr>
              <w:t>1) Księgi rachunkowe prowadzone są w siedzibie Centrum Usług Wspólnych Placówek Oświatowych na ul. Wojska Polskiego 27 we Włocławku.</w:t>
            </w:r>
          </w:p>
          <w:p w14:paraId="4EE49680" w14:textId="77777777" w:rsidR="005736B4" w:rsidRDefault="005F09CA" w:rsidP="005F09CA">
            <w:pPr>
              <w:pStyle w:val="Standard"/>
              <w:spacing w:after="0" w:line="100" w:lineRule="atLeast"/>
              <w:ind w:left="196"/>
              <w:jc w:val="both"/>
              <w:rPr>
                <w:rFonts w:ascii="Arial Narrow" w:hAnsi="Arial Narrow" w:cs="Arial Narrow"/>
              </w:rPr>
            </w:pPr>
            <w:r>
              <w:rPr>
                <w:rFonts w:ascii="Arial Narrow" w:hAnsi="Arial Narrow" w:cs="Arial Narrow"/>
              </w:rPr>
              <w:t>2) Rokiem obrotowym jest okres roku budżetowego, czyli rok kalendarzowy od 1 stycznia do 31 grudnia.</w:t>
            </w:r>
          </w:p>
          <w:p w14:paraId="326E7927" w14:textId="77777777" w:rsidR="005736B4" w:rsidRDefault="005F09CA" w:rsidP="005F09CA">
            <w:pPr>
              <w:pStyle w:val="Standard"/>
              <w:spacing w:after="0" w:line="100" w:lineRule="atLeast"/>
              <w:ind w:left="196"/>
              <w:jc w:val="both"/>
              <w:rPr>
                <w:rFonts w:ascii="Arial Narrow" w:hAnsi="Arial Narrow" w:cs="Arial Narrow"/>
              </w:rPr>
            </w:pPr>
            <w:r>
              <w:rPr>
                <w:rFonts w:ascii="Arial Narrow" w:hAnsi="Arial Narrow" w:cs="Arial Narrow"/>
              </w:rPr>
              <w:t>3) Najkrótszym okresem sprawozdawczym są poszczególne miesiące.</w:t>
            </w:r>
          </w:p>
          <w:p w14:paraId="532AA00A" w14:textId="0DF1213D" w:rsidR="005736B4" w:rsidRDefault="005F09CA" w:rsidP="005F09CA">
            <w:pPr>
              <w:pStyle w:val="Standard"/>
              <w:spacing w:after="0" w:line="100" w:lineRule="atLeast"/>
              <w:ind w:left="376" w:hanging="180"/>
              <w:jc w:val="both"/>
              <w:rPr>
                <w:rFonts w:ascii="Arial Narrow" w:hAnsi="Arial Narrow" w:cs="Arial Narrow"/>
              </w:rPr>
            </w:pPr>
            <w:r>
              <w:rPr>
                <w:rFonts w:ascii="Arial Narrow" w:hAnsi="Arial Narrow" w:cs="Arial Narrow"/>
              </w:rPr>
              <w:t>4) Ostateczne zamknięcie i otwarcie ksiąg rachunkowych jednostki kontynuującej działalność powinno nastąpić ciągu 15 dni od dnia zatwierdzenia sprawozdania finansowego</w:t>
            </w:r>
            <w:r w:rsidR="00EE4C97">
              <w:rPr>
                <w:rFonts w:ascii="Arial Narrow" w:hAnsi="Arial Narrow" w:cs="Arial Narrow"/>
              </w:rPr>
              <w:t xml:space="preserve"> </w:t>
            </w:r>
            <w:r>
              <w:rPr>
                <w:rFonts w:ascii="Arial Narrow" w:hAnsi="Arial Narrow" w:cs="Arial Narrow"/>
              </w:rPr>
              <w:t>za</w:t>
            </w:r>
            <w:r w:rsidR="00EE4C97">
              <w:rPr>
                <w:rFonts w:ascii="Arial Narrow" w:hAnsi="Arial Narrow" w:cs="Arial Narrow"/>
              </w:rPr>
              <w:t> </w:t>
            </w:r>
            <w:r>
              <w:rPr>
                <w:rFonts w:ascii="Arial Narrow" w:hAnsi="Arial Narrow" w:cs="Arial Narrow"/>
              </w:rPr>
              <w:t>rok obrotowy Gminy Miasta Włocławek,</w:t>
            </w:r>
          </w:p>
          <w:p w14:paraId="254A756D" w14:textId="77777777" w:rsidR="005736B4" w:rsidRDefault="005F09CA" w:rsidP="005F09CA">
            <w:pPr>
              <w:pStyle w:val="Standard"/>
              <w:spacing w:after="0" w:line="100" w:lineRule="atLeast"/>
              <w:ind w:left="196"/>
              <w:jc w:val="both"/>
              <w:rPr>
                <w:rFonts w:ascii="Arial Narrow" w:hAnsi="Arial Narrow" w:cs="Arial Narrow"/>
              </w:rPr>
            </w:pPr>
            <w:r>
              <w:rPr>
                <w:rFonts w:ascii="Arial Narrow" w:hAnsi="Arial Narrow" w:cs="Arial Narrow"/>
              </w:rPr>
              <w:t>5) Księgi rachunkowe prowadzi się w języku polskim.</w:t>
            </w:r>
          </w:p>
          <w:p w14:paraId="3487AF9D" w14:textId="77777777" w:rsidR="005736B4" w:rsidRDefault="005F09CA" w:rsidP="005F09CA">
            <w:pPr>
              <w:pStyle w:val="Standard"/>
              <w:spacing w:after="0" w:line="100" w:lineRule="atLeast"/>
              <w:ind w:left="376" w:hanging="180"/>
              <w:jc w:val="both"/>
              <w:rPr>
                <w:rFonts w:ascii="Arial Narrow" w:hAnsi="Arial Narrow" w:cs="Arial Narrow"/>
              </w:rPr>
            </w:pPr>
            <w:r>
              <w:rPr>
                <w:rFonts w:ascii="Arial Narrow" w:hAnsi="Arial Narrow" w:cs="Arial Narrow"/>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5468EBC8" w14:textId="77777777" w:rsidR="005736B4" w:rsidRDefault="005F09CA" w:rsidP="005F09CA">
            <w:pPr>
              <w:pStyle w:val="Standard"/>
              <w:spacing w:after="0" w:line="100" w:lineRule="atLeast"/>
              <w:ind w:left="196"/>
              <w:jc w:val="both"/>
              <w:rPr>
                <w:rFonts w:ascii="Arial Narrow" w:hAnsi="Arial Narrow" w:cs="Arial Narrow"/>
              </w:rPr>
            </w:pPr>
            <w:r>
              <w:rPr>
                <w:rFonts w:ascii="Arial Narrow" w:hAnsi="Arial Narrow" w:cs="Arial Narrow"/>
              </w:rPr>
              <w:t>7) Wykazane w księgach rachunkowych na dzień ich zamknięcia stany aktywów i pasywów, ujmuje się w tej samej wysokości w bilansie otwarcia następnego roku obrotowego.</w:t>
            </w:r>
          </w:p>
          <w:p w14:paraId="582A3803" w14:textId="77777777" w:rsidR="005736B4" w:rsidRDefault="005F09CA" w:rsidP="005F09CA">
            <w:pPr>
              <w:pStyle w:val="Standard"/>
              <w:spacing w:after="0" w:line="100" w:lineRule="atLeast"/>
              <w:ind w:left="376" w:hanging="180"/>
              <w:jc w:val="both"/>
              <w:rPr>
                <w:rFonts w:ascii="Arial Narrow" w:hAnsi="Arial Narrow" w:cs="Arial Narrow"/>
              </w:rPr>
            </w:pPr>
            <w:r>
              <w:rPr>
                <w:rFonts w:ascii="Arial Narrow" w:hAnsi="Arial Narrow" w:cs="Arial Narrow"/>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66B3BB8E"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lastRenderedPageBreak/>
              <w:t>9) Księgi rachunkowe obejmują zbiory zapisów księgowych, obrotów i sald, które tworzą:</w:t>
            </w:r>
          </w:p>
          <w:p w14:paraId="182F2914"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dziennik,</w:t>
            </w:r>
          </w:p>
          <w:p w14:paraId="6447ACB8"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księgę główną (ewidencji syntetycznej) w której obowiązuje ujęcie każdej operacji zgodnie z zasadą podwójnego zapisu (Wn – Ma),</w:t>
            </w:r>
          </w:p>
          <w:p w14:paraId="2CBA017C"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księgi pomocnicze (analityczne),</w:t>
            </w:r>
          </w:p>
          <w:p w14:paraId="76D7C870"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zestawienie obrotów i sald księgi głównej i ksiąg pomocniczych,</w:t>
            </w:r>
          </w:p>
          <w:p w14:paraId="4F315B16"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wykaz składników aktywów i pasywów (inwentarz).</w:t>
            </w:r>
          </w:p>
          <w:p w14:paraId="33803223" w14:textId="6BA9F415"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z wydrukiem uznaje się przeniesienie treści ksiąg rachunkowych na informatyczny nośnik danych, zawierający trwałość zapisu informacji na</w:t>
            </w:r>
            <w:r w:rsidR="00EE4C97">
              <w:rPr>
                <w:rFonts w:ascii="Arial Narrow" w:hAnsi="Arial Narrow" w:cs="Arial Narrow"/>
              </w:rPr>
              <w:t> </w:t>
            </w:r>
            <w:r>
              <w:rPr>
                <w:rFonts w:ascii="Arial Narrow" w:hAnsi="Arial Narrow" w:cs="Arial Narrow"/>
              </w:rPr>
              <w:t>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581025B5"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10) Zapisy w księgach rachunkowych dokonuje się na podstawie dowodów księgowych:</w:t>
            </w:r>
          </w:p>
          <w:p w14:paraId="7E83650B"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zewnętrznych (otrzymywanych od kontrahentów - przekazywanych w oryginale kontrahentom),</w:t>
            </w:r>
          </w:p>
          <w:p w14:paraId="11C86477"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wewnętrznych – (dotyczące operacji wewnątrz jednostki).</w:t>
            </w:r>
          </w:p>
          <w:p w14:paraId="4FC2DA4F"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013DE191"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11) Konta syntetyczne oznaczone są symbolami trzycyfrowymi.</w:t>
            </w:r>
          </w:p>
          <w:p w14:paraId="3E033B7D"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12) Księgi rachunkowe prowadzi się rzetelnie, sprawdzalnie i bieżąco, właściwie kwalifikując dowody księgowe w odniesieniu do klasyfikacji budżetowej oraz zakładowego planu kont.</w:t>
            </w:r>
          </w:p>
          <w:p w14:paraId="1D0DECA7"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13) 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3A3C7120"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14) Rozliczanie i grupowanie kosztów następują na kontach rodzajowych zespołu „4” z zachowaniem zgodności wydatków za dany rok.</w:t>
            </w:r>
          </w:p>
          <w:p w14:paraId="3BCCA3C7"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15) Dochody i wydatki budżetowe klasyfikuje się według:</w:t>
            </w:r>
          </w:p>
          <w:p w14:paraId="34B3EA40"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działów i rozdziałów – określających rodzaj działalności,</w:t>
            </w:r>
          </w:p>
          <w:p w14:paraId="752E74BC"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paragrafów - określających rodzaj dochodu lub wydatku, zgodnie z obowiązującą klasyfikacją budżetową,</w:t>
            </w:r>
          </w:p>
          <w:p w14:paraId="1241482F"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pozycji – uszczegółowienie dochodów i wydatków do potrzeb analiz i sprawozdań.</w:t>
            </w:r>
          </w:p>
          <w:p w14:paraId="6D7AFE86"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16) Wydatki budżetowe są realizowane:</w:t>
            </w:r>
          </w:p>
          <w:p w14:paraId="22835783"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w sposób celowy i oszczędny,</w:t>
            </w:r>
          </w:p>
          <w:p w14:paraId="23C107BF"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umożliwiający terminową realizację zadań,</w:t>
            </w:r>
          </w:p>
          <w:p w14:paraId="3F52E4FB"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w wysokości i terminach wynikających z wcześniej zaciągniętych zobowiązań,</w:t>
            </w:r>
          </w:p>
          <w:p w14:paraId="6A274CAB"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zgodnie z zasadami określonymi w przepisach o zamówieniach publicznych,</w:t>
            </w:r>
          </w:p>
          <w:p w14:paraId="00B53403"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nie powodując naruszeń dyscypliny budżetowej w rozumieniu Ustawy o odpowiedzialności za naruszenie dyscypliny finansów publicznych.</w:t>
            </w:r>
          </w:p>
          <w:p w14:paraId="4298FC2E" w14:textId="7ADADA29"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17) Korygowanie zapisów po zamknięciu okresu sprawozdawczego (miesiąca) dokonuje się poprzez zapis ujemny (tzw. czerwone storno) na tych samych stronach kont na których nastąpił błędny zapis na podstawie dowodu wewnętrznego PK – polecenie księgowania podpisanych przez pracowników sporządzających dokument PK. Zapewnia to</w:t>
            </w:r>
            <w:r w:rsidR="00EE4C97">
              <w:rPr>
                <w:rFonts w:ascii="Arial Narrow" w:hAnsi="Arial Narrow" w:cs="Arial Narrow"/>
              </w:rPr>
              <w:t> </w:t>
            </w:r>
            <w:r>
              <w:rPr>
                <w:rFonts w:ascii="Arial Narrow" w:hAnsi="Arial Narrow" w:cs="Arial Narrow"/>
              </w:rPr>
              <w:t xml:space="preserve">prawidłową wysokość obrotów i czytelność zapisów księgowych. Błędy w dowodach wewnętrznych mogą być poprawiane przez skreślenie błędnej treści lub kwoty </w:t>
            </w:r>
            <w:r>
              <w:rPr>
                <w:rFonts w:ascii="Arial Narrow" w:hAnsi="Arial Narrow" w:cs="Arial Narrow"/>
              </w:rPr>
              <w:lastRenderedPageBreak/>
              <w:t>z</w:t>
            </w:r>
            <w:r w:rsidR="00EE4C97">
              <w:rPr>
                <w:rFonts w:ascii="Arial Narrow" w:hAnsi="Arial Narrow" w:cs="Arial Narrow"/>
              </w:rPr>
              <w:t> </w:t>
            </w:r>
            <w:r>
              <w:rPr>
                <w:rFonts w:ascii="Arial Narrow" w:hAnsi="Arial Narrow" w:cs="Arial Narrow"/>
              </w:rPr>
              <w:t>utrzymaniem czytelności błędnego zapisu i wpisanie poprawnej treści. Za niedopuszczalne uznaje się dokonywanie w dowodach księgowych wymazywania, przeróbek lub</w:t>
            </w:r>
            <w:r w:rsidR="00EE4C97">
              <w:rPr>
                <w:rFonts w:ascii="Arial Narrow" w:hAnsi="Arial Narrow" w:cs="Arial Narrow"/>
              </w:rPr>
              <w:t> </w:t>
            </w:r>
            <w:r>
              <w:rPr>
                <w:rFonts w:ascii="Arial Narrow" w:hAnsi="Arial Narrow" w:cs="Arial Narrow"/>
              </w:rPr>
              <w:t>poprawiania pojedynczych liter lub cyfr.</w:t>
            </w:r>
          </w:p>
          <w:p w14:paraId="020F472F" w14:textId="77777777"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1F2A862E" w14:textId="7783A93D"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19) Dopuszcza się księgowanie bezpośrednio w koszty wartości zużycia materiałów pozostałych, a pozostające na koniec roku zapasy zostaną objęte korektą kosztów w</w:t>
            </w:r>
            <w:r w:rsidR="00EE4C97">
              <w:rPr>
                <w:rFonts w:ascii="Arial Narrow" w:hAnsi="Arial Narrow" w:cs="Arial Narrow"/>
              </w:rPr>
              <w:t> </w:t>
            </w:r>
            <w:r>
              <w:rPr>
                <w:rFonts w:ascii="Arial Narrow" w:hAnsi="Arial Narrow" w:cs="Arial Narrow"/>
              </w:rPr>
              <w:t>odniesieniu na magazyn (konto 310).</w:t>
            </w:r>
          </w:p>
          <w:p w14:paraId="3D6A5DB8" w14:textId="77777777"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349A1F81" w14:textId="77777777"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17B77288" w14:textId="77777777" w:rsidR="005736B4" w:rsidRDefault="005F09CA" w:rsidP="00EE4C97">
            <w:pPr>
              <w:pStyle w:val="Standard"/>
              <w:spacing w:after="0" w:line="100" w:lineRule="atLeast"/>
              <w:ind w:left="556"/>
              <w:jc w:val="both"/>
              <w:rPr>
                <w:rFonts w:ascii="Arial Narrow" w:hAnsi="Arial Narrow" w:cs="Arial Narrow"/>
              </w:rPr>
            </w:pPr>
            <w:r>
              <w:rPr>
                <w:rFonts w:ascii="Arial Narrow" w:hAnsi="Arial Narrow" w:cs="Arial Narrow"/>
              </w:rPr>
              <w:t>Szczególnie dowodami zastępczymi dokumentowane są:</w:t>
            </w:r>
          </w:p>
          <w:p w14:paraId="73B176A3" w14:textId="77777777" w:rsidR="005736B4" w:rsidRDefault="005F09CA" w:rsidP="00EE4C97">
            <w:pPr>
              <w:pStyle w:val="Standard"/>
              <w:numPr>
                <w:ilvl w:val="0"/>
                <w:numId w:val="4"/>
              </w:numPr>
              <w:tabs>
                <w:tab w:val="left" w:pos="1069"/>
              </w:tabs>
              <w:spacing w:after="0" w:line="100" w:lineRule="atLeast"/>
              <w:ind w:left="556" w:firstLine="0"/>
              <w:jc w:val="both"/>
              <w:rPr>
                <w:rFonts w:ascii="Arial Narrow" w:hAnsi="Arial Narrow" w:cs="Arial Narrow"/>
              </w:rPr>
            </w:pPr>
            <w:r>
              <w:rPr>
                <w:rFonts w:ascii="Arial Narrow" w:hAnsi="Arial Narrow" w:cs="Arial Narrow"/>
              </w:rPr>
              <w:t>różne opłaty (sądowe itp.),</w:t>
            </w:r>
          </w:p>
          <w:p w14:paraId="7A2143FF" w14:textId="77777777" w:rsidR="005736B4" w:rsidRDefault="005F09CA" w:rsidP="00EE4C97">
            <w:pPr>
              <w:pStyle w:val="Standard"/>
              <w:numPr>
                <w:ilvl w:val="0"/>
                <w:numId w:val="2"/>
              </w:numPr>
              <w:tabs>
                <w:tab w:val="left" w:pos="1069"/>
              </w:tabs>
              <w:spacing w:after="0" w:line="100" w:lineRule="atLeast"/>
              <w:ind w:left="556" w:firstLine="0"/>
              <w:jc w:val="both"/>
              <w:rPr>
                <w:rFonts w:ascii="Arial Narrow" w:hAnsi="Arial Narrow" w:cs="Arial Narrow"/>
              </w:rPr>
            </w:pPr>
            <w:r>
              <w:rPr>
                <w:rFonts w:ascii="Arial Narrow" w:hAnsi="Arial Narrow" w:cs="Arial Narrow"/>
              </w:rPr>
              <w:t>pokwitowania za parkingi</w:t>
            </w:r>
          </w:p>
          <w:p w14:paraId="693A8658" w14:textId="77777777" w:rsidR="005736B4" w:rsidRDefault="005F09CA" w:rsidP="00EE4C97">
            <w:pPr>
              <w:pStyle w:val="Standard"/>
              <w:numPr>
                <w:ilvl w:val="0"/>
                <w:numId w:val="2"/>
              </w:numPr>
              <w:tabs>
                <w:tab w:val="left" w:pos="1069"/>
              </w:tabs>
              <w:spacing w:after="0" w:line="100" w:lineRule="atLeast"/>
              <w:ind w:left="556" w:firstLine="0"/>
              <w:jc w:val="both"/>
              <w:rPr>
                <w:rFonts w:ascii="Arial Narrow" w:hAnsi="Arial Narrow" w:cs="Arial Narrow"/>
              </w:rPr>
            </w:pPr>
            <w:r>
              <w:rPr>
                <w:rFonts w:ascii="Arial Narrow" w:hAnsi="Arial Narrow" w:cs="Arial Narrow"/>
              </w:rPr>
              <w:t>opłaty za przejazdy autostradami,</w:t>
            </w:r>
          </w:p>
          <w:p w14:paraId="0540CFCA" w14:textId="77777777" w:rsidR="005736B4" w:rsidRDefault="005F09CA" w:rsidP="00EE4C97">
            <w:pPr>
              <w:pStyle w:val="Standard"/>
              <w:numPr>
                <w:ilvl w:val="0"/>
                <w:numId w:val="5"/>
              </w:numPr>
              <w:tabs>
                <w:tab w:val="left" w:pos="1069"/>
              </w:tabs>
              <w:spacing w:after="0" w:line="100" w:lineRule="atLeast"/>
              <w:ind w:left="556" w:firstLine="0"/>
              <w:jc w:val="both"/>
              <w:rPr>
                <w:rFonts w:ascii="Arial Narrow" w:hAnsi="Arial Narrow" w:cs="Arial Narrow"/>
              </w:rPr>
            </w:pPr>
            <w:r>
              <w:rPr>
                <w:rFonts w:ascii="Arial Narrow" w:hAnsi="Arial Narrow" w:cs="Arial Narrow"/>
              </w:rPr>
              <w:t>opłaty za abonament radiowo-telewizyjny,</w:t>
            </w:r>
          </w:p>
          <w:p w14:paraId="2270287D"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opłaty za udział w targach szkół i placówek,</w:t>
            </w:r>
          </w:p>
          <w:p w14:paraId="43CE0E6A"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pokwitowanie za listy polecone,</w:t>
            </w:r>
          </w:p>
          <w:p w14:paraId="530BCB87"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podatek od nieruchomości,</w:t>
            </w:r>
          </w:p>
          <w:p w14:paraId="068BDDC7"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podatek od środków transportu,</w:t>
            </w:r>
          </w:p>
          <w:p w14:paraId="3EC7C5B4"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świadczenia dla pracowników z ZFŚS zgodnie z dyspozycją pisemną Kierownika jednostki obsługiwanej,</w:t>
            </w:r>
          </w:p>
          <w:p w14:paraId="10F85CE4"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bilety przy delegacjach służbowych.</w:t>
            </w:r>
          </w:p>
          <w:p w14:paraId="231049C8" w14:textId="77777777"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22) Dekretacja dokumentów księgowych jest umieszczana bezpośrednio na dowodach księgowych lub dołączona do dowodów w formie wydruku z systemu FK (z podpisem pracownika sporządzającego dekretację).</w:t>
            </w:r>
          </w:p>
          <w:p w14:paraId="42EB44EA"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Dokonano wyboru następujących rozwiązań dokumentowania operacji dopuszczalnych ustawą:</w:t>
            </w:r>
          </w:p>
          <w:p w14:paraId="56BF94E1"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0EBF6DB5"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b) na pomniejszenie dochodów danego roku budżetowego ujmuje się zwroty dokonane rodzicom, opiekunom na podstawie rozliczeń zatwierdzonych przez Kierownika jednostki obsługiwanej, które wpływają do CUWPO, dotyczących opłaty za pobyt i opłaty za wyżywienie,</w:t>
            </w:r>
          </w:p>
          <w:p w14:paraId="60E076CB"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1E3A32DF"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39BE68C8"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58C69D57"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lastRenderedPageBreak/>
              <w:t>f) Uwzględniając wymogi ustawy o finansach publicznych jak również zasadę kasowego wykonania budżetu dochody i wydatki budżetowe ujmuje się w terminach ich zapłaty, niezależnie od rocznego budżetu, którego dotyczą.</w:t>
            </w:r>
          </w:p>
          <w:p w14:paraId="568F06E5" w14:textId="2AFBD86E"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g) Należy również ujmować wszystkie etapy rozliczeń poprzedzające płatności dochodów i wydatków, a w zakresie wydatków i kosztów – także zaangażowanie środków. Zaangażowaniem jest etap poprzedzający dokonanie wydatku, poniesienia kosztu, służy do ewidencji prawnego zaangażowania wydatków budżetowych danego r</w:t>
            </w:r>
            <w:r w:rsidR="00EE4C97">
              <w:rPr>
                <w:rFonts w:ascii="Arial Narrow" w:hAnsi="Arial Narrow" w:cs="Arial Narrow"/>
              </w:rPr>
              <w:t>o</w:t>
            </w:r>
            <w:r>
              <w:rPr>
                <w:rFonts w:ascii="Arial Narrow" w:hAnsi="Arial Narrow" w:cs="Arial Narrow"/>
              </w:rPr>
              <w:t>ku budżetowego.</w:t>
            </w:r>
          </w:p>
          <w:p w14:paraId="4808556F"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h) Odsetki od należności, ujmuje się w księgach rachunkowych w momencie ich zapłaty lub na koniec kwartału w wysokości odsetek należnych na koniec tego kwartału.</w:t>
            </w:r>
          </w:p>
          <w:p w14:paraId="02C25FCA" w14:textId="5CC2252F"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i) Odsetki od zobowiązań wymagalnych, w tym także tych, do których stosuje się przepisy dotyczące zobowiązań podatkowych, ujmowane są w księgach rachunkowych w</w:t>
            </w:r>
            <w:r w:rsidR="00EE4C97">
              <w:rPr>
                <w:rFonts w:ascii="Arial Narrow" w:hAnsi="Arial Narrow" w:cs="Arial Narrow"/>
              </w:rPr>
              <w:t> </w:t>
            </w:r>
            <w:r>
              <w:rPr>
                <w:rFonts w:ascii="Arial Narrow" w:hAnsi="Arial Narrow" w:cs="Arial Narrow"/>
              </w:rPr>
              <w:t>momencie ich zapłaty lub pod datą ostatniego dnia kwartału w wysokości odsetek należnych na koniec tego kwartału.</w:t>
            </w:r>
          </w:p>
          <w:p w14:paraId="75E18166"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j) Wycena aktywów i pasywów wyrażonych w walutach obcych dokonuje się nie później niż na koniec kwartału.</w:t>
            </w:r>
          </w:p>
          <w:p w14:paraId="672E2F06" w14:textId="250EAACC"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w:t>
            </w:r>
            <w:r w:rsidR="00EE4C97">
              <w:rPr>
                <w:rFonts w:ascii="Arial Narrow" w:hAnsi="Arial Narrow" w:cs="Arial Narrow"/>
              </w:rPr>
              <w:t> </w:t>
            </w:r>
            <w:r>
              <w:rPr>
                <w:rFonts w:ascii="Arial Narrow" w:hAnsi="Arial Narrow" w:cs="Arial Narrow"/>
              </w:rPr>
              <w:t>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71CEEB98" w14:textId="77777777" w:rsidR="005736B4" w:rsidRDefault="005F09CA" w:rsidP="00EE4C97">
            <w:pPr>
              <w:pStyle w:val="Standard"/>
              <w:spacing w:after="0" w:line="100" w:lineRule="atLeast"/>
              <w:ind w:left="16"/>
              <w:jc w:val="both"/>
            </w:pPr>
            <w:r>
              <w:rPr>
                <w:rFonts w:ascii="Arial Narrow" w:hAnsi="Arial Narrow" w:cs="Arial Narrow"/>
                <w:b/>
              </w:rPr>
              <w:t>IV.</w:t>
            </w:r>
            <w:r>
              <w:rPr>
                <w:rFonts w:ascii="Arial Narrow" w:hAnsi="Arial Narrow" w:cs="Arial Narrow"/>
              </w:rPr>
              <w:t xml:space="preserve"> Rozliczenia z tytułu VAT.</w:t>
            </w:r>
          </w:p>
          <w:p w14:paraId="2A310E12" w14:textId="77777777" w:rsidR="005736B4" w:rsidRDefault="005F09CA" w:rsidP="00EE4C97">
            <w:pPr>
              <w:pStyle w:val="Standard"/>
              <w:spacing w:after="240" w:line="100" w:lineRule="atLeast"/>
              <w:ind w:left="397" w:hanging="284"/>
              <w:jc w:val="both"/>
              <w:rPr>
                <w:rFonts w:ascii="Arial Narrow" w:eastAsia="Times New Roman" w:hAnsi="Arial Narrow" w:cs="Arial Narrow"/>
                <w:szCs w:val="20"/>
                <w:lang w:eastAsia="pl-PL"/>
              </w:rPr>
            </w:pPr>
            <w:r>
              <w:rPr>
                <w:rFonts w:ascii="Arial Narrow" w:eastAsia="Times New Roman" w:hAnsi="Arial Narrow" w:cs="Arial Narrow"/>
                <w:szCs w:val="20"/>
                <w:lang w:eastAsia="pl-PL"/>
              </w:rPr>
              <w:t>1. 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w:t>
            </w:r>
          </w:p>
          <w:p w14:paraId="36F59916" w14:textId="77777777" w:rsidR="005736B4" w:rsidRDefault="005F09CA" w:rsidP="00EE4C97">
            <w:pPr>
              <w:pStyle w:val="Standard"/>
              <w:spacing w:after="240" w:line="100" w:lineRule="atLeast"/>
              <w:ind w:firstLine="263"/>
              <w:jc w:val="both"/>
            </w:pPr>
            <w:r>
              <w:rPr>
                <w:rFonts w:ascii="Arial Narrow" w:eastAsia="Times New Roman" w:hAnsi="Arial Narrow" w:cs="Arial Narrow"/>
                <w:lang w:eastAsia="pl-PL"/>
              </w:rPr>
              <w:t>W celu realizacji MPP (Mechanizm Podzielonej Płatności)</w:t>
            </w:r>
            <w:r>
              <w:rPr>
                <w:rFonts w:ascii="Arial Narrow" w:eastAsia="Times New Roman" w:hAnsi="Arial Narrow" w:cs="Arial Narrow"/>
                <w:b/>
                <w:bCs/>
                <w:lang w:eastAsia="pl-PL"/>
              </w:rPr>
              <w:t> </w:t>
            </w:r>
            <w:r>
              <w:rPr>
                <w:rFonts w:ascii="Arial Narrow" w:eastAsia="Times New Roman" w:hAnsi="Arial Narrow" w:cs="Arial Narrow"/>
                <w:lang w:eastAsia="pl-PL"/>
              </w:rPr>
              <w:t>wydzielono w księgach rachunkowych dodatkowe konta analityczne " VAT".  </w:t>
            </w:r>
          </w:p>
          <w:p w14:paraId="06FEC4F3" w14:textId="77777777" w:rsidR="005736B4" w:rsidRDefault="005F09CA" w:rsidP="00EE4C97">
            <w:pPr>
              <w:pStyle w:val="Standard"/>
              <w:spacing w:after="0" w:line="100" w:lineRule="atLeast"/>
              <w:ind w:left="16"/>
              <w:jc w:val="both"/>
            </w:pPr>
            <w:r>
              <w:rPr>
                <w:rFonts w:ascii="Arial Narrow" w:hAnsi="Arial Narrow" w:cs="Arial Narrow"/>
                <w:b/>
                <w:bCs/>
              </w:rPr>
              <w:t>V</w:t>
            </w:r>
            <w:r>
              <w:rPr>
                <w:rFonts w:ascii="Arial Narrow" w:hAnsi="Arial Narrow" w:cs="Arial Narrow"/>
                <w:bCs/>
              </w:rPr>
              <w:t>. Sprawozdawczość finansowa:</w:t>
            </w:r>
          </w:p>
          <w:p w14:paraId="76D65D97"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18D1565B" w14:textId="77777777" w:rsidR="005736B4" w:rsidRDefault="005F09CA" w:rsidP="00EE4C97">
            <w:pPr>
              <w:pStyle w:val="Standard"/>
              <w:spacing w:after="0" w:line="100" w:lineRule="atLeast"/>
              <w:ind w:left="16"/>
              <w:jc w:val="both"/>
            </w:pPr>
            <w:r>
              <w:rPr>
                <w:rFonts w:ascii="Arial Narrow" w:hAnsi="Arial Narrow" w:cs="Arial Narrow"/>
                <w:b/>
                <w:bCs/>
                <w:iCs/>
              </w:rPr>
              <w:t>VI.</w:t>
            </w:r>
            <w:r>
              <w:rPr>
                <w:rFonts w:ascii="Arial Narrow" w:hAnsi="Arial Narrow" w:cs="Arial Narrow"/>
                <w:bCs/>
                <w:iCs/>
              </w:rPr>
              <w:t xml:space="preserve"> Księgi rachunkowe prowadzi się techniką komputerową wg następującego oprogramowania:</w:t>
            </w:r>
          </w:p>
          <w:p w14:paraId="31EA9523"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 Vulcan aplikacja Finanse VULCAN wersja zgodna z aktualizacjami programu - firma Vulcan Sp. z o.o. ul. Wołowska 6, 51-116 Wrocław. Administratorem platformy systemu Vulcan jest Gmina Miasto Włocławek.</w:t>
            </w:r>
          </w:p>
          <w:p w14:paraId="0F681C69" w14:textId="77777777" w:rsidR="005736B4" w:rsidRDefault="005736B4" w:rsidP="00EE4C97">
            <w:pPr>
              <w:pStyle w:val="Standard"/>
              <w:spacing w:after="0" w:line="100" w:lineRule="atLeast"/>
              <w:jc w:val="both"/>
              <w:rPr>
                <w:rFonts w:ascii="Arial Narrow" w:hAnsi="Arial Narrow" w:cs="Arial Narrow"/>
              </w:rPr>
            </w:pPr>
          </w:p>
        </w:tc>
      </w:tr>
      <w:tr w:rsidR="005736B4" w14:paraId="59EC2B16"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071AABE7" w14:textId="77777777" w:rsidR="005736B4" w:rsidRDefault="005F09CA">
            <w:pPr>
              <w:pStyle w:val="Standard"/>
              <w:spacing w:after="0" w:line="100" w:lineRule="atLeast"/>
              <w:rPr>
                <w:rFonts w:cs="Calibri"/>
                <w:sz w:val="20"/>
                <w:szCs w:val="20"/>
              </w:rPr>
            </w:pPr>
            <w:r>
              <w:rPr>
                <w:rFonts w:cs="Calibri"/>
                <w:sz w:val="20"/>
                <w:szCs w:val="20"/>
              </w:rPr>
              <w:lastRenderedPageBreak/>
              <w:t>5.</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16C80" w14:textId="77777777" w:rsidR="005736B4" w:rsidRDefault="005F09CA">
            <w:pPr>
              <w:pStyle w:val="Standard"/>
              <w:spacing w:after="0" w:line="100" w:lineRule="atLeast"/>
              <w:rPr>
                <w:color w:val="2E2014"/>
                <w:sz w:val="20"/>
                <w:szCs w:val="20"/>
              </w:rPr>
            </w:pPr>
            <w:r>
              <w:rPr>
                <w:color w:val="2E2014"/>
                <w:sz w:val="20"/>
                <w:szCs w:val="20"/>
              </w:rPr>
              <w:t>inne informacje</w:t>
            </w:r>
          </w:p>
        </w:tc>
      </w:tr>
      <w:tr w:rsidR="005736B4" w14:paraId="5ACB0A13" w14:textId="77777777" w:rsidTr="00E302FF">
        <w:trPr>
          <w:trHeight w:val="682"/>
        </w:trPr>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543DDADC"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20B07" w14:textId="77777777" w:rsidR="005736B4" w:rsidRDefault="005736B4">
            <w:pPr>
              <w:pStyle w:val="Standard"/>
              <w:snapToGrid w:val="0"/>
              <w:spacing w:after="0" w:line="100" w:lineRule="atLeast"/>
              <w:rPr>
                <w:rFonts w:cs="Calibri"/>
                <w:b/>
                <w:sz w:val="24"/>
                <w:szCs w:val="24"/>
              </w:rPr>
            </w:pPr>
          </w:p>
          <w:p w14:paraId="3D6DF4F8" w14:textId="77777777" w:rsidR="005736B4" w:rsidRDefault="005736B4">
            <w:pPr>
              <w:pStyle w:val="Standard"/>
              <w:spacing w:after="0" w:line="100" w:lineRule="atLeast"/>
              <w:rPr>
                <w:b/>
                <w:sz w:val="24"/>
                <w:szCs w:val="24"/>
              </w:rPr>
            </w:pPr>
          </w:p>
          <w:p w14:paraId="3E5B9760" w14:textId="77777777" w:rsidR="005736B4" w:rsidRDefault="005736B4">
            <w:pPr>
              <w:pStyle w:val="Standard"/>
              <w:spacing w:after="0" w:line="100" w:lineRule="atLeast"/>
              <w:rPr>
                <w:b/>
                <w:sz w:val="24"/>
                <w:szCs w:val="24"/>
              </w:rPr>
            </w:pPr>
          </w:p>
        </w:tc>
      </w:tr>
      <w:tr w:rsidR="005736B4" w14:paraId="0E3FA546"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3A4E70B1" w14:textId="77777777" w:rsidR="005736B4" w:rsidRDefault="005F09CA">
            <w:pPr>
              <w:pStyle w:val="Standard"/>
              <w:spacing w:after="0" w:line="100" w:lineRule="atLeast"/>
              <w:rPr>
                <w:rFonts w:cs="Calibri"/>
                <w:b/>
                <w:sz w:val="20"/>
                <w:szCs w:val="20"/>
              </w:rPr>
            </w:pPr>
            <w:r>
              <w:rPr>
                <w:rFonts w:cs="Calibri"/>
                <w:b/>
                <w:sz w:val="20"/>
                <w:szCs w:val="20"/>
              </w:rPr>
              <w:t>II.</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5FE74" w14:textId="77777777" w:rsidR="005736B4" w:rsidRDefault="005F09CA">
            <w:pPr>
              <w:pStyle w:val="Standard"/>
              <w:spacing w:after="0" w:line="100" w:lineRule="atLeast"/>
              <w:rPr>
                <w:b/>
                <w:bCs/>
                <w:color w:val="2E2014"/>
                <w:sz w:val="20"/>
                <w:szCs w:val="20"/>
              </w:rPr>
            </w:pPr>
            <w:r>
              <w:rPr>
                <w:b/>
                <w:bCs/>
                <w:color w:val="2E2014"/>
                <w:sz w:val="20"/>
                <w:szCs w:val="20"/>
              </w:rPr>
              <w:t>Dodatkowe informacje i objaśnienia obejmują w szczególności:</w:t>
            </w:r>
          </w:p>
        </w:tc>
      </w:tr>
      <w:tr w:rsidR="005736B4" w14:paraId="069C660D"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3AB42F18" w14:textId="77777777" w:rsidR="005736B4" w:rsidRDefault="005F09CA">
            <w:pPr>
              <w:pStyle w:val="Standard"/>
              <w:spacing w:after="0" w:line="100" w:lineRule="atLeast"/>
              <w:rPr>
                <w:rFonts w:cs="Calibri"/>
                <w:sz w:val="20"/>
                <w:szCs w:val="20"/>
              </w:rPr>
            </w:pPr>
            <w:r>
              <w:rPr>
                <w:rFonts w:cs="Calibri"/>
                <w:sz w:val="20"/>
                <w:szCs w:val="20"/>
              </w:rPr>
              <w:t>1.</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F7C31" w14:textId="77777777" w:rsidR="005736B4" w:rsidRDefault="005736B4">
            <w:pPr>
              <w:pStyle w:val="Standard"/>
              <w:snapToGrid w:val="0"/>
              <w:spacing w:after="0" w:line="100" w:lineRule="atLeast"/>
              <w:rPr>
                <w:b/>
                <w:sz w:val="24"/>
                <w:szCs w:val="24"/>
              </w:rPr>
            </w:pPr>
          </w:p>
          <w:p w14:paraId="0ECC40CA" w14:textId="77777777" w:rsidR="005736B4" w:rsidRDefault="005736B4">
            <w:pPr>
              <w:pStyle w:val="Standard"/>
              <w:spacing w:after="0" w:line="100" w:lineRule="atLeast"/>
              <w:rPr>
                <w:b/>
                <w:sz w:val="24"/>
                <w:szCs w:val="24"/>
              </w:rPr>
            </w:pPr>
          </w:p>
          <w:p w14:paraId="4CDE48D1" w14:textId="77777777" w:rsidR="005736B4" w:rsidRDefault="005736B4">
            <w:pPr>
              <w:pStyle w:val="Standard"/>
              <w:spacing w:after="0" w:line="100" w:lineRule="atLeast"/>
              <w:rPr>
                <w:b/>
                <w:sz w:val="24"/>
                <w:szCs w:val="24"/>
              </w:rPr>
            </w:pPr>
          </w:p>
        </w:tc>
      </w:tr>
      <w:tr w:rsidR="005736B4" w14:paraId="7775D3BF"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3903B852" w14:textId="77777777" w:rsidR="005736B4" w:rsidRDefault="005F09CA">
            <w:pPr>
              <w:pStyle w:val="Standard"/>
              <w:spacing w:after="0" w:line="100" w:lineRule="atLeast"/>
              <w:rPr>
                <w:rFonts w:cs="Calibri"/>
                <w:sz w:val="20"/>
                <w:szCs w:val="20"/>
              </w:rPr>
            </w:pPr>
            <w:r>
              <w:rPr>
                <w:rFonts w:cs="Calibri"/>
                <w:sz w:val="20"/>
                <w:szCs w:val="20"/>
              </w:rPr>
              <w:t>1.1</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2F316" w14:textId="77777777" w:rsidR="005736B4" w:rsidRDefault="005F09CA" w:rsidP="00E903EB">
            <w:pPr>
              <w:pStyle w:val="Standard"/>
              <w:widowControl w:val="0"/>
              <w:spacing w:before="47" w:after="0" w:line="240" w:lineRule="auto"/>
              <w:ind w:right="40"/>
              <w:jc w:val="both"/>
            </w:pPr>
            <w:r>
              <w:rPr>
                <w:rFonts w:ascii="Arial Narrow" w:hAnsi="Arial Narrow" w:cs="Arial Narrow"/>
                <w:color w:val="2E2014"/>
                <w:sz w:val="20"/>
                <w:szCs w:val="20"/>
              </w:rPr>
              <w:t>szczegółowy</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zakres</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zmian</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wartości</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grup</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rodzajowych</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środków</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trwałych,</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wartości</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niematerialnych i prawnych, zawierający stan tych aktywów na początek roku obrotowego, zwiększenia i zmniejszenia z tytułu: aktualizacji wartości,</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nabycia,</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rozchodu,</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przemieszczenia</w:t>
            </w:r>
            <w:r>
              <w:rPr>
                <w:rFonts w:ascii="Arial Narrow" w:hAnsi="Arial Narrow" w:cs="Arial Narrow"/>
                <w:color w:val="2E2014"/>
                <w:spacing w:val="-7"/>
                <w:sz w:val="20"/>
                <w:szCs w:val="20"/>
              </w:rPr>
              <w:t xml:space="preserve"> </w:t>
            </w:r>
            <w:r>
              <w:rPr>
                <w:rFonts w:ascii="Arial Narrow" w:hAnsi="Arial Narrow" w:cs="Arial Narrow"/>
                <w:color w:val="2E2014"/>
                <w:sz w:val="20"/>
                <w:szCs w:val="20"/>
              </w:rPr>
              <w:t>wewnętrznego</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oraz</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stan</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końcowy,</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a</w:t>
            </w:r>
            <w:r>
              <w:rPr>
                <w:rFonts w:ascii="Arial Narrow" w:hAnsi="Arial Narrow" w:cs="Arial Narrow"/>
                <w:color w:val="2E2014"/>
                <w:spacing w:val="-7"/>
                <w:sz w:val="20"/>
                <w:szCs w:val="20"/>
              </w:rPr>
              <w:t xml:space="preserve"> </w:t>
            </w:r>
            <w:r>
              <w:rPr>
                <w:rFonts w:ascii="Arial Narrow" w:hAnsi="Arial Narrow" w:cs="Arial Narrow"/>
                <w:color w:val="2E2014"/>
                <w:sz w:val="20"/>
                <w:szCs w:val="20"/>
              </w:rPr>
              <w:t>dla</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majątku</w:t>
            </w:r>
            <w:r>
              <w:rPr>
                <w:rFonts w:ascii="Arial Narrow" w:hAnsi="Arial Narrow" w:cs="Arial Narrow"/>
                <w:color w:val="2E2014"/>
                <w:spacing w:val="-7"/>
                <w:sz w:val="20"/>
                <w:szCs w:val="20"/>
              </w:rPr>
              <w:t xml:space="preserve"> </w:t>
            </w:r>
            <w:r>
              <w:rPr>
                <w:rFonts w:ascii="Arial Narrow" w:hAnsi="Arial Narrow" w:cs="Arial Narrow"/>
                <w:color w:val="2E2014"/>
                <w:sz w:val="20"/>
                <w:szCs w:val="20"/>
              </w:rPr>
              <w:t>amortyzowanego</w:t>
            </w:r>
          </w:p>
          <w:p w14:paraId="77F46FE6" w14:textId="77777777" w:rsidR="005736B4" w:rsidRDefault="005F09CA" w:rsidP="00E903EB">
            <w:pPr>
              <w:pStyle w:val="Standard"/>
              <w:spacing w:after="0" w:line="100" w:lineRule="atLeast"/>
              <w:jc w:val="both"/>
            </w:pPr>
            <w:r>
              <w:rPr>
                <w:rFonts w:ascii="Arial Narrow" w:hAnsi="Arial Narrow" w:cs="Arial Narrow"/>
                <w:color w:val="2E2014"/>
                <w:sz w:val="20"/>
                <w:szCs w:val="20"/>
              </w:rPr>
              <w:t>–</w:t>
            </w:r>
            <w:r>
              <w:rPr>
                <w:rFonts w:ascii="Arial Narrow" w:eastAsia="Arial Narrow" w:hAnsi="Arial Narrow" w:cs="Arial Narrow"/>
                <w:color w:val="2E2014"/>
                <w:sz w:val="20"/>
                <w:szCs w:val="20"/>
              </w:rPr>
              <w:t xml:space="preserve"> </w:t>
            </w:r>
            <w:r>
              <w:rPr>
                <w:rFonts w:ascii="Arial Narrow" w:hAnsi="Arial Narrow" w:cs="Arial Narrow"/>
                <w:color w:val="2E2014"/>
                <w:sz w:val="20"/>
                <w:szCs w:val="20"/>
              </w:rPr>
              <w:t>podobne przedstawienie stanów i tytułów zmian dotychczasowej amortyzacji lub umorzenia</w:t>
            </w:r>
          </w:p>
        </w:tc>
      </w:tr>
      <w:tr w:rsidR="005736B4" w14:paraId="0C093E3E"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7E4936B3"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13077" w:type="dxa"/>
              <w:tblCellMar>
                <w:left w:w="70" w:type="dxa"/>
                <w:right w:w="70" w:type="dxa"/>
              </w:tblCellMar>
              <w:tblLook w:val="04A0" w:firstRow="1" w:lastRow="0" w:firstColumn="1" w:lastColumn="0" w:noHBand="0" w:noVBand="1"/>
            </w:tblPr>
            <w:tblGrid>
              <w:gridCol w:w="300"/>
              <w:gridCol w:w="996"/>
              <w:gridCol w:w="813"/>
              <w:gridCol w:w="364"/>
              <w:gridCol w:w="665"/>
              <w:gridCol w:w="364"/>
              <w:gridCol w:w="736"/>
              <w:gridCol w:w="410"/>
              <w:gridCol w:w="623"/>
              <w:gridCol w:w="364"/>
              <w:gridCol w:w="771"/>
              <w:gridCol w:w="812"/>
              <w:gridCol w:w="736"/>
              <w:gridCol w:w="364"/>
              <w:gridCol w:w="773"/>
              <w:gridCol w:w="709"/>
              <w:gridCol w:w="734"/>
              <w:gridCol w:w="364"/>
              <w:gridCol w:w="739"/>
              <w:gridCol w:w="845"/>
              <w:gridCol w:w="812"/>
            </w:tblGrid>
            <w:tr w:rsidR="007F1824" w:rsidRPr="007F1824" w14:paraId="170C0EE7" w14:textId="77777777" w:rsidTr="007F1824">
              <w:trPr>
                <w:trHeight w:val="330"/>
              </w:trPr>
              <w:tc>
                <w:tcPr>
                  <w:tcW w:w="13077" w:type="dxa"/>
                  <w:gridSpan w:val="21"/>
                  <w:tcBorders>
                    <w:top w:val="nil"/>
                    <w:left w:val="nil"/>
                    <w:bottom w:val="single" w:sz="4" w:space="0" w:color="auto"/>
                    <w:right w:val="nil"/>
                  </w:tcBorders>
                  <w:noWrap/>
                  <w:vAlign w:val="center"/>
                  <w:hideMark/>
                </w:tcPr>
                <w:p w14:paraId="673FD645" w14:textId="77777777" w:rsidR="007F1824" w:rsidRPr="007F1824" w:rsidRDefault="007F1824" w:rsidP="007F1824">
                  <w:pPr>
                    <w:widowControl/>
                    <w:suppressAutoHyphens w:val="0"/>
                    <w:autoSpaceDN/>
                    <w:textAlignment w:val="auto"/>
                    <w:rPr>
                      <w:rFonts w:ascii="Arial Narrow" w:eastAsia="Times New Roman" w:hAnsi="Arial Narrow" w:cs="Times New Roman"/>
                      <w:b/>
                      <w:bCs/>
                      <w:color w:val="000000"/>
                      <w:kern w:val="0"/>
                      <w:sz w:val="20"/>
                      <w:szCs w:val="20"/>
                      <w:u w:val="single"/>
                      <w:lang w:eastAsia="pl-PL" w:bidi="ar-SA"/>
                    </w:rPr>
                  </w:pPr>
                  <w:r w:rsidRPr="007F1824">
                    <w:rPr>
                      <w:rFonts w:ascii="Arial Narrow" w:eastAsia="Times New Roman" w:hAnsi="Arial Narrow" w:cs="Times New Roman"/>
                      <w:b/>
                      <w:bCs/>
                      <w:color w:val="000000"/>
                      <w:kern w:val="0"/>
                      <w:sz w:val="20"/>
                      <w:szCs w:val="20"/>
                      <w:u w:val="single"/>
                      <w:lang w:eastAsia="pl-PL" w:bidi="ar-SA"/>
                    </w:rPr>
                    <w:t>Główne składniki aktywów trwałych – PP 35</w:t>
                  </w:r>
                </w:p>
              </w:tc>
            </w:tr>
            <w:tr w:rsidR="007F1824" w:rsidRPr="007F1824" w14:paraId="08A94D72" w14:textId="77777777" w:rsidTr="007F1824">
              <w:trPr>
                <w:trHeight w:val="510"/>
              </w:trPr>
              <w:tc>
                <w:tcPr>
                  <w:tcW w:w="300" w:type="dxa"/>
                  <w:vMerge w:val="restart"/>
                  <w:tcBorders>
                    <w:top w:val="single" w:sz="4" w:space="0" w:color="auto"/>
                    <w:left w:val="single" w:sz="4" w:space="0" w:color="000000"/>
                    <w:bottom w:val="single" w:sz="4" w:space="0" w:color="000000"/>
                    <w:right w:val="single" w:sz="4" w:space="0" w:color="000000"/>
                  </w:tcBorders>
                  <w:noWrap/>
                  <w:vAlign w:val="center"/>
                  <w:hideMark/>
                </w:tcPr>
                <w:p w14:paraId="2E45F221"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Lp.</w:t>
                  </w:r>
                </w:p>
              </w:tc>
              <w:tc>
                <w:tcPr>
                  <w:tcW w:w="996" w:type="dxa"/>
                  <w:vMerge w:val="restart"/>
                  <w:tcBorders>
                    <w:top w:val="single" w:sz="4" w:space="0" w:color="auto"/>
                    <w:left w:val="single" w:sz="4" w:space="0" w:color="000000"/>
                    <w:bottom w:val="single" w:sz="4" w:space="0" w:color="000000"/>
                    <w:right w:val="single" w:sz="4" w:space="0" w:color="000000"/>
                  </w:tcBorders>
                  <w:vAlign w:val="center"/>
                  <w:hideMark/>
                </w:tcPr>
                <w:p w14:paraId="4C66A472"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Nazwa grupy rodzajowej składnika aktywów trwałych</w:t>
                  </w:r>
                </w:p>
              </w:tc>
              <w:tc>
                <w:tcPr>
                  <w:tcW w:w="813" w:type="dxa"/>
                  <w:vMerge w:val="restart"/>
                  <w:tcBorders>
                    <w:top w:val="single" w:sz="4" w:space="0" w:color="auto"/>
                    <w:left w:val="single" w:sz="4" w:space="0" w:color="000000"/>
                    <w:bottom w:val="single" w:sz="4" w:space="0" w:color="000000"/>
                    <w:right w:val="single" w:sz="4" w:space="0" w:color="000000"/>
                  </w:tcBorders>
                  <w:vAlign w:val="center"/>
                  <w:hideMark/>
                </w:tcPr>
                <w:p w14:paraId="18BF75B2"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Wartość poczatkowa - stan na poczatek roku obrotowego</w:t>
                  </w:r>
                </w:p>
              </w:tc>
              <w:tc>
                <w:tcPr>
                  <w:tcW w:w="1393" w:type="dxa"/>
                  <w:gridSpan w:val="3"/>
                  <w:tcBorders>
                    <w:top w:val="single" w:sz="4" w:space="0" w:color="auto"/>
                    <w:left w:val="nil"/>
                    <w:bottom w:val="single" w:sz="4" w:space="0" w:color="000000"/>
                    <w:right w:val="single" w:sz="4" w:space="0" w:color="000000"/>
                  </w:tcBorders>
                  <w:vAlign w:val="center"/>
                  <w:hideMark/>
                </w:tcPr>
                <w:p w14:paraId="0412DDB2"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Zwiększenie wartości poczatkowej</w:t>
                  </w:r>
                </w:p>
              </w:tc>
              <w:tc>
                <w:tcPr>
                  <w:tcW w:w="736" w:type="dxa"/>
                  <w:vMerge w:val="restart"/>
                  <w:tcBorders>
                    <w:top w:val="single" w:sz="4" w:space="0" w:color="auto"/>
                    <w:left w:val="single" w:sz="4" w:space="0" w:color="000000"/>
                    <w:bottom w:val="single" w:sz="4" w:space="0" w:color="000000"/>
                    <w:right w:val="single" w:sz="4" w:space="0" w:color="000000"/>
                  </w:tcBorders>
                  <w:vAlign w:val="center"/>
                  <w:hideMark/>
                </w:tcPr>
                <w:p w14:paraId="62CFB9B2"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Ogółem zwiększenie wartości początkowej (4+5+6)</w:t>
                  </w:r>
                </w:p>
              </w:tc>
              <w:tc>
                <w:tcPr>
                  <w:tcW w:w="1397" w:type="dxa"/>
                  <w:gridSpan w:val="3"/>
                  <w:tcBorders>
                    <w:top w:val="single" w:sz="4" w:space="0" w:color="auto"/>
                    <w:left w:val="nil"/>
                    <w:bottom w:val="single" w:sz="4" w:space="0" w:color="000000"/>
                    <w:right w:val="single" w:sz="4" w:space="0" w:color="000000"/>
                  </w:tcBorders>
                  <w:vAlign w:val="center"/>
                  <w:hideMark/>
                </w:tcPr>
                <w:p w14:paraId="5613DF2B"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Zmniejszenie wartości początkowej</w:t>
                  </w:r>
                </w:p>
              </w:tc>
              <w:tc>
                <w:tcPr>
                  <w:tcW w:w="771" w:type="dxa"/>
                  <w:vMerge w:val="restart"/>
                  <w:tcBorders>
                    <w:top w:val="single" w:sz="4" w:space="0" w:color="auto"/>
                    <w:left w:val="single" w:sz="4" w:space="0" w:color="000000"/>
                    <w:bottom w:val="single" w:sz="4" w:space="0" w:color="000000"/>
                    <w:right w:val="single" w:sz="4" w:space="0" w:color="000000"/>
                  </w:tcBorders>
                  <w:vAlign w:val="center"/>
                  <w:hideMark/>
                </w:tcPr>
                <w:p w14:paraId="536557FA"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Ogółem zmniejszenie wartości poczatkowej                                                                                                                              (8+9+10)</w:t>
                  </w:r>
                </w:p>
              </w:tc>
              <w:tc>
                <w:tcPr>
                  <w:tcW w:w="812" w:type="dxa"/>
                  <w:vMerge w:val="restart"/>
                  <w:tcBorders>
                    <w:top w:val="single" w:sz="4" w:space="0" w:color="auto"/>
                    <w:left w:val="single" w:sz="4" w:space="0" w:color="000000"/>
                    <w:bottom w:val="single" w:sz="4" w:space="0" w:color="000000"/>
                    <w:right w:val="single" w:sz="4" w:space="0" w:color="000000"/>
                  </w:tcBorders>
                  <w:vAlign w:val="center"/>
                  <w:hideMark/>
                </w:tcPr>
                <w:p w14:paraId="71ECE61D"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Wartość poczatkowa - stan na koniec roku obrotowego                                                                                                                                           (3+7-11)</w:t>
                  </w:r>
                </w:p>
              </w:tc>
              <w:tc>
                <w:tcPr>
                  <w:tcW w:w="736" w:type="dxa"/>
                  <w:vMerge w:val="restart"/>
                  <w:tcBorders>
                    <w:top w:val="single" w:sz="4" w:space="0" w:color="auto"/>
                    <w:left w:val="single" w:sz="4" w:space="0" w:color="000000"/>
                    <w:bottom w:val="single" w:sz="4" w:space="0" w:color="000000"/>
                    <w:right w:val="single" w:sz="4" w:space="0" w:color="000000"/>
                  </w:tcBorders>
                  <w:textDirection w:val="btLr"/>
                  <w:vAlign w:val="center"/>
                  <w:hideMark/>
                </w:tcPr>
                <w:p w14:paraId="2844CDA3"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Umorzenie - stan na początek roku obrotowego</w:t>
                  </w:r>
                </w:p>
              </w:tc>
              <w:tc>
                <w:tcPr>
                  <w:tcW w:w="1846" w:type="dxa"/>
                  <w:gridSpan w:val="3"/>
                  <w:tcBorders>
                    <w:top w:val="single" w:sz="4" w:space="0" w:color="auto"/>
                    <w:left w:val="nil"/>
                    <w:bottom w:val="single" w:sz="4" w:space="0" w:color="000000"/>
                    <w:right w:val="single" w:sz="4" w:space="0" w:color="000000"/>
                  </w:tcBorders>
                  <w:vAlign w:val="center"/>
                  <w:hideMark/>
                </w:tcPr>
                <w:p w14:paraId="7291BDA7"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Zwiększenia w ciągu roku obrotowego</w:t>
                  </w:r>
                </w:p>
              </w:tc>
              <w:tc>
                <w:tcPr>
                  <w:tcW w:w="517" w:type="dxa"/>
                  <w:vMerge w:val="restart"/>
                  <w:tcBorders>
                    <w:top w:val="single" w:sz="4" w:space="0" w:color="auto"/>
                    <w:left w:val="single" w:sz="4" w:space="0" w:color="000000"/>
                    <w:bottom w:val="single" w:sz="4" w:space="0" w:color="000000"/>
                    <w:right w:val="single" w:sz="4" w:space="0" w:color="000000"/>
                  </w:tcBorders>
                  <w:vAlign w:val="center"/>
                  <w:hideMark/>
                </w:tcPr>
                <w:p w14:paraId="5C25AEE5"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Ogółem zwiększenie umorzenia (14+15+16)</w:t>
                  </w:r>
                </w:p>
              </w:tc>
              <w:tc>
                <w:tcPr>
                  <w:tcW w:w="364" w:type="dxa"/>
                  <w:vMerge w:val="restart"/>
                  <w:tcBorders>
                    <w:top w:val="single" w:sz="4" w:space="0" w:color="auto"/>
                    <w:left w:val="single" w:sz="4" w:space="0" w:color="000000"/>
                    <w:bottom w:val="single" w:sz="4" w:space="0" w:color="000000"/>
                    <w:right w:val="single" w:sz="4" w:space="0" w:color="000000"/>
                  </w:tcBorders>
                  <w:textDirection w:val="btLr"/>
                  <w:vAlign w:val="center"/>
                  <w:hideMark/>
                </w:tcPr>
                <w:p w14:paraId="2CB37184"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Zmniejszenie umorzenia</w:t>
                  </w:r>
                </w:p>
              </w:tc>
              <w:tc>
                <w:tcPr>
                  <w:tcW w:w="739" w:type="dxa"/>
                  <w:vMerge w:val="restart"/>
                  <w:tcBorders>
                    <w:top w:val="single" w:sz="4" w:space="0" w:color="auto"/>
                    <w:left w:val="single" w:sz="4" w:space="0" w:color="000000"/>
                    <w:bottom w:val="single" w:sz="4" w:space="0" w:color="000000"/>
                    <w:right w:val="single" w:sz="4" w:space="0" w:color="000000"/>
                  </w:tcBorders>
                  <w:vAlign w:val="center"/>
                  <w:hideMark/>
                </w:tcPr>
                <w:p w14:paraId="7B16A520"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Umorzenie - stan na koniec roku obrotowego                                                                                                 (13+17-18)</w:t>
                  </w:r>
                </w:p>
              </w:tc>
              <w:tc>
                <w:tcPr>
                  <w:tcW w:w="1657" w:type="dxa"/>
                  <w:gridSpan w:val="2"/>
                  <w:tcBorders>
                    <w:top w:val="single" w:sz="4" w:space="0" w:color="auto"/>
                    <w:left w:val="nil"/>
                    <w:bottom w:val="single" w:sz="4" w:space="0" w:color="000000"/>
                    <w:right w:val="single" w:sz="4" w:space="0" w:color="000000"/>
                  </w:tcBorders>
                  <w:vAlign w:val="center"/>
                  <w:hideMark/>
                </w:tcPr>
                <w:p w14:paraId="2EC9A41A"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Wartość netto składników aktywów</w:t>
                  </w:r>
                </w:p>
              </w:tc>
            </w:tr>
            <w:tr w:rsidR="007F1824" w:rsidRPr="007F1824" w14:paraId="7405E12C" w14:textId="77777777" w:rsidTr="007F1824">
              <w:trPr>
                <w:trHeight w:val="1695"/>
              </w:trPr>
              <w:tc>
                <w:tcPr>
                  <w:tcW w:w="300" w:type="dxa"/>
                  <w:vMerge/>
                  <w:tcBorders>
                    <w:top w:val="nil"/>
                    <w:left w:val="single" w:sz="4" w:space="0" w:color="000000"/>
                    <w:bottom w:val="single" w:sz="4" w:space="0" w:color="000000"/>
                    <w:right w:val="single" w:sz="4" w:space="0" w:color="000000"/>
                  </w:tcBorders>
                  <w:vAlign w:val="center"/>
                  <w:hideMark/>
                </w:tcPr>
                <w:p w14:paraId="620CB347" w14:textId="77777777" w:rsidR="007F1824" w:rsidRPr="007F1824" w:rsidRDefault="007F1824" w:rsidP="007F1824">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996" w:type="dxa"/>
                  <w:vMerge/>
                  <w:tcBorders>
                    <w:top w:val="nil"/>
                    <w:left w:val="single" w:sz="4" w:space="0" w:color="000000"/>
                    <w:bottom w:val="single" w:sz="4" w:space="0" w:color="000000"/>
                    <w:right w:val="single" w:sz="4" w:space="0" w:color="000000"/>
                  </w:tcBorders>
                  <w:vAlign w:val="center"/>
                  <w:hideMark/>
                </w:tcPr>
                <w:p w14:paraId="1C4692B9" w14:textId="77777777" w:rsidR="007F1824" w:rsidRPr="007F1824" w:rsidRDefault="007F1824" w:rsidP="007F1824">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813" w:type="dxa"/>
                  <w:vMerge/>
                  <w:tcBorders>
                    <w:top w:val="nil"/>
                    <w:left w:val="single" w:sz="4" w:space="0" w:color="000000"/>
                    <w:bottom w:val="single" w:sz="4" w:space="0" w:color="000000"/>
                    <w:right w:val="single" w:sz="4" w:space="0" w:color="000000"/>
                  </w:tcBorders>
                  <w:vAlign w:val="center"/>
                  <w:hideMark/>
                </w:tcPr>
                <w:p w14:paraId="5A777435" w14:textId="77777777" w:rsidR="007F1824" w:rsidRPr="007F1824" w:rsidRDefault="007F1824" w:rsidP="007F1824">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364" w:type="dxa"/>
                  <w:tcBorders>
                    <w:top w:val="nil"/>
                    <w:left w:val="nil"/>
                    <w:bottom w:val="single" w:sz="4" w:space="0" w:color="000000"/>
                    <w:right w:val="nil"/>
                  </w:tcBorders>
                  <w:noWrap/>
                  <w:textDirection w:val="btLr"/>
                  <w:vAlign w:val="center"/>
                  <w:hideMark/>
                </w:tcPr>
                <w:p w14:paraId="33B20D84"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Aktualizacja</w:t>
                  </w:r>
                </w:p>
              </w:tc>
              <w:tc>
                <w:tcPr>
                  <w:tcW w:w="665" w:type="dxa"/>
                  <w:tcBorders>
                    <w:top w:val="nil"/>
                    <w:left w:val="single" w:sz="4" w:space="0" w:color="000000"/>
                    <w:bottom w:val="single" w:sz="4" w:space="0" w:color="000000"/>
                    <w:right w:val="single" w:sz="4" w:space="0" w:color="000000"/>
                  </w:tcBorders>
                  <w:noWrap/>
                  <w:textDirection w:val="btLr"/>
                  <w:vAlign w:val="center"/>
                  <w:hideMark/>
                </w:tcPr>
                <w:p w14:paraId="50BD48E2"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Przychody</w:t>
                  </w:r>
                </w:p>
              </w:tc>
              <w:tc>
                <w:tcPr>
                  <w:tcW w:w="364" w:type="dxa"/>
                  <w:tcBorders>
                    <w:top w:val="nil"/>
                    <w:left w:val="nil"/>
                    <w:bottom w:val="single" w:sz="4" w:space="0" w:color="000000"/>
                    <w:right w:val="nil"/>
                  </w:tcBorders>
                  <w:noWrap/>
                  <w:textDirection w:val="btLr"/>
                  <w:vAlign w:val="center"/>
                  <w:hideMark/>
                </w:tcPr>
                <w:p w14:paraId="08A1EE55"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Przemieszczenie</w:t>
                  </w:r>
                </w:p>
              </w:tc>
              <w:tc>
                <w:tcPr>
                  <w:tcW w:w="736" w:type="dxa"/>
                  <w:vMerge/>
                  <w:tcBorders>
                    <w:top w:val="nil"/>
                    <w:left w:val="single" w:sz="4" w:space="0" w:color="000000"/>
                    <w:bottom w:val="single" w:sz="4" w:space="0" w:color="000000"/>
                    <w:right w:val="single" w:sz="4" w:space="0" w:color="000000"/>
                  </w:tcBorders>
                  <w:vAlign w:val="center"/>
                  <w:hideMark/>
                </w:tcPr>
                <w:p w14:paraId="4740D964" w14:textId="77777777" w:rsidR="007F1824" w:rsidRPr="007F1824" w:rsidRDefault="007F1824" w:rsidP="007F1824">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410" w:type="dxa"/>
                  <w:tcBorders>
                    <w:top w:val="nil"/>
                    <w:left w:val="nil"/>
                    <w:bottom w:val="single" w:sz="4" w:space="0" w:color="000000"/>
                    <w:right w:val="nil"/>
                  </w:tcBorders>
                  <w:noWrap/>
                  <w:vAlign w:val="center"/>
                  <w:hideMark/>
                </w:tcPr>
                <w:p w14:paraId="1DE0B91B"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Zbycie</w:t>
                  </w:r>
                </w:p>
              </w:tc>
              <w:tc>
                <w:tcPr>
                  <w:tcW w:w="623" w:type="dxa"/>
                  <w:tcBorders>
                    <w:top w:val="nil"/>
                    <w:left w:val="single" w:sz="4" w:space="0" w:color="000000"/>
                    <w:bottom w:val="single" w:sz="4" w:space="0" w:color="000000"/>
                    <w:right w:val="single" w:sz="4" w:space="0" w:color="000000"/>
                  </w:tcBorders>
                  <w:vAlign w:val="center"/>
                  <w:hideMark/>
                </w:tcPr>
                <w:p w14:paraId="512A0A3D"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Likwidacja</w:t>
                  </w:r>
                </w:p>
              </w:tc>
              <w:tc>
                <w:tcPr>
                  <w:tcW w:w="364" w:type="dxa"/>
                  <w:tcBorders>
                    <w:top w:val="nil"/>
                    <w:left w:val="nil"/>
                    <w:bottom w:val="single" w:sz="4" w:space="0" w:color="000000"/>
                    <w:right w:val="nil"/>
                  </w:tcBorders>
                  <w:noWrap/>
                  <w:vAlign w:val="center"/>
                  <w:hideMark/>
                </w:tcPr>
                <w:p w14:paraId="54D7A04C"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Inne</w:t>
                  </w:r>
                </w:p>
              </w:tc>
              <w:tc>
                <w:tcPr>
                  <w:tcW w:w="771" w:type="dxa"/>
                  <w:vMerge/>
                  <w:tcBorders>
                    <w:top w:val="nil"/>
                    <w:left w:val="single" w:sz="4" w:space="0" w:color="000000"/>
                    <w:bottom w:val="single" w:sz="4" w:space="0" w:color="000000"/>
                    <w:right w:val="single" w:sz="4" w:space="0" w:color="000000"/>
                  </w:tcBorders>
                  <w:vAlign w:val="center"/>
                  <w:hideMark/>
                </w:tcPr>
                <w:p w14:paraId="6F2D7127" w14:textId="77777777" w:rsidR="007F1824" w:rsidRPr="007F1824" w:rsidRDefault="007F1824" w:rsidP="007F1824">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812" w:type="dxa"/>
                  <w:vMerge/>
                  <w:tcBorders>
                    <w:top w:val="nil"/>
                    <w:left w:val="single" w:sz="4" w:space="0" w:color="000000"/>
                    <w:bottom w:val="single" w:sz="4" w:space="0" w:color="000000"/>
                    <w:right w:val="single" w:sz="4" w:space="0" w:color="000000"/>
                  </w:tcBorders>
                  <w:vAlign w:val="center"/>
                  <w:hideMark/>
                </w:tcPr>
                <w:p w14:paraId="3D5AD470" w14:textId="77777777" w:rsidR="007F1824" w:rsidRPr="007F1824" w:rsidRDefault="007F1824" w:rsidP="007F1824">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736" w:type="dxa"/>
                  <w:vMerge/>
                  <w:tcBorders>
                    <w:top w:val="nil"/>
                    <w:left w:val="single" w:sz="4" w:space="0" w:color="000000"/>
                    <w:bottom w:val="single" w:sz="4" w:space="0" w:color="000000"/>
                    <w:right w:val="single" w:sz="4" w:space="0" w:color="000000"/>
                  </w:tcBorders>
                  <w:vAlign w:val="center"/>
                  <w:hideMark/>
                </w:tcPr>
                <w:p w14:paraId="60949C7C" w14:textId="77777777" w:rsidR="007F1824" w:rsidRPr="007F1824" w:rsidRDefault="007F1824" w:rsidP="007F1824">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364" w:type="dxa"/>
                  <w:tcBorders>
                    <w:top w:val="nil"/>
                    <w:left w:val="nil"/>
                    <w:bottom w:val="single" w:sz="4" w:space="0" w:color="000000"/>
                    <w:right w:val="nil"/>
                  </w:tcBorders>
                  <w:noWrap/>
                  <w:textDirection w:val="btLr"/>
                  <w:vAlign w:val="center"/>
                  <w:hideMark/>
                </w:tcPr>
                <w:p w14:paraId="40442C0B"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Aktualizacja</w:t>
                  </w:r>
                </w:p>
              </w:tc>
              <w:tc>
                <w:tcPr>
                  <w:tcW w:w="773" w:type="dxa"/>
                  <w:tcBorders>
                    <w:top w:val="nil"/>
                    <w:left w:val="single" w:sz="4" w:space="0" w:color="000000"/>
                    <w:bottom w:val="single" w:sz="4" w:space="0" w:color="000000"/>
                    <w:right w:val="single" w:sz="4" w:space="0" w:color="000000"/>
                  </w:tcBorders>
                  <w:textDirection w:val="btLr"/>
                  <w:vAlign w:val="center"/>
                  <w:hideMark/>
                </w:tcPr>
                <w:p w14:paraId="125A8A86"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Amortyzacja za rok obrotowy</w:t>
                  </w:r>
                </w:p>
              </w:tc>
              <w:tc>
                <w:tcPr>
                  <w:tcW w:w="709" w:type="dxa"/>
                  <w:tcBorders>
                    <w:top w:val="nil"/>
                    <w:left w:val="nil"/>
                    <w:bottom w:val="single" w:sz="4" w:space="0" w:color="000000"/>
                    <w:right w:val="nil"/>
                  </w:tcBorders>
                  <w:noWrap/>
                  <w:textDirection w:val="btLr"/>
                  <w:vAlign w:val="center"/>
                  <w:hideMark/>
                </w:tcPr>
                <w:p w14:paraId="3680F911"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Inne</w:t>
                  </w:r>
                </w:p>
              </w:tc>
              <w:tc>
                <w:tcPr>
                  <w:tcW w:w="517" w:type="dxa"/>
                  <w:vMerge/>
                  <w:tcBorders>
                    <w:top w:val="nil"/>
                    <w:left w:val="single" w:sz="4" w:space="0" w:color="000000"/>
                    <w:bottom w:val="single" w:sz="4" w:space="0" w:color="000000"/>
                    <w:right w:val="single" w:sz="4" w:space="0" w:color="000000"/>
                  </w:tcBorders>
                  <w:vAlign w:val="center"/>
                  <w:hideMark/>
                </w:tcPr>
                <w:p w14:paraId="0CDFD878" w14:textId="77777777" w:rsidR="007F1824" w:rsidRPr="007F1824" w:rsidRDefault="007F1824" w:rsidP="007F1824">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364" w:type="dxa"/>
                  <w:vMerge/>
                  <w:tcBorders>
                    <w:top w:val="nil"/>
                    <w:left w:val="single" w:sz="4" w:space="0" w:color="000000"/>
                    <w:bottom w:val="single" w:sz="4" w:space="0" w:color="000000"/>
                    <w:right w:val="single" w:sz="4" w:space="0" w:color="000000"/>
                  </w:tcBorders>
                  <w:vAlign w:val="center"/>
                  <w:hideMark/>
                </w:tcPr>
                <w:p w14:paraId="02803E87" w14:textId="77777777" w:rsidR="007F1824" w:rsidRPr="007F1824" w:rsidRDefault="007F1824" w:rsidP="007F1824">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739" w:type="dxa"/>
                  <w:vMerge/>
                  <w:tcBorders>
                    <w:top w:val="nil"/>
                    <w:left w:val="single" w:sz="4" w:space="0" w:color="000000"/>
                    <w:bottom w:val="single" w:sz="4" w:space="0" w:color="000000"/>
                    <w:right w:val="single" w:sz="4" w:space="0" w:color="000000"/>
                  </w:tcBorders>
                  <w:vAlign w:val="center"/>
                  <w:hideMark/>
                </w:tcPr>
                <w:p w14:paraId="0CEB66BC" w14:textId="77777777" w:rsidR="007F1824" w:rsidRPr="007F1824" w:rsidRDefault="007F1824" w:rsidP="007F1824">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845" w:type="dxa"/>
                  <w:tcBorders>
                    <w:top w:val="nil"/>
                    <w:left w:val="nil"/>
                    <w:bottom w:val="single" w:sz="4" w:space="0" w:color="000000"/>
                    <w:right w:val="single" w:sz="4" w:space="0" w:color="000000"/>
                  </w:tcBorders>
                  <w:vAlign w:val="center"/>
                  <w:hideMark/>
                </w:tcPr>
                <w:p w14:paraId="3DD0FBC9"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Stan na poczatek roku obrotowego                                                                                                                                                                           (3-13)</w:t>
                  </w:r>
                </w:p>
              </w:tc>
              <w:tc>
                <w:tcPr>
                  <w:tcW w:w="812" w:type="dxa"/>
                  <w:tcBorders>
                    <w:top w:val="nil"/>
                    <w:left w:val="nil"/>
                    <w:bottom w:val="single" w:sz="4" w:space="0" w:color="000000"/>
                    <w:right w:val="single" w:sz="4" w:space="0" w:color="000000"/>
                  </w:tcBorders>
                  <w:vAlign w:val="center"/>
                  <w:hideMark/>
                </w:tcPr>
                <w:p w14:paraId="1558356A"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Stan na koniec roku obrotowego                                                                                                                                                                          (12-19)</w:t>
                  </w:r>
                </w:p>
              </w:tc>
            </w:tr>
            <w:tr w:rsidR="007F1824" w:rsidRPr="007F1824" w14:paraId="76DDD51A" w14:textId="77777777" w:rsidTr="007F1824">
              <w:trPr>
                <w:trHeight w:val="199"/>
              </w:trPr>
              <w:tc>
                <w:tcPr>
                  <w:tcW w:w="300" w:type="dxa"/>
                  <w:tcBorders>
                    <w:top w:val="single" w:sz="4" w:space="0" w:color="000000"/>
                    <w:left w:val="single" w:sz="4" w:space="0" w:color="000000"/>
                    <w:bottom w:val="single" w:sz="4" w:space="0" w:color="000000"/>
                    <w:right w:val="single" w:sz="4" w:space="0" w:color="000000"/>
                  </w:tcBorders>
                  <w:noWrap/>
                  <w:vAlign w:val="center"/>
                  <w:hideMark/>
                </w:tcPr>
                <w:p w14:paraId="209C41A2"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1</w:t>
                  </w:r>
                </w:p>
              </w:tc>
              <w:tc>
                <w:tcPr>
                  <w:tcW w:w="996" w:type="dxa"/>
                  <w:tcBorders>
                    <w:top w:val="single" w:sz="4" w:space="0" w:color="000000"/>
                    <w:left w:val="nil"/>
                    <w:bottom w:val="single" w:sz="4" w:space="0" w:color="000000"/>
                    <w:right w:val="single" w:sz="4" w:space="0" w:color="000000"/>
                  </w:tcBorders>
                  <w:noWrap/>
                  <w:vAlign w:val="center"/>
                  <w:hideMark/>
                </w:tcPr>
                <w:p w14:paraId="258EA604"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2</w:t>
                  </w:r>
                </w:p>
              </w:tc>
              <w:tc>
                <w:tcPr>
                  <w:tcW w:w="813" w:type="dxa"/>
                  <w:tcBorders>
                    <w:top w:val="single" w:sz="4" w:space="0" w:color="000000"/>
                    <w:left w:val="nil"/>
                    <w:bottom w:val="single" w:sz="4" w:space="0" w:color="000000"/>
                    <w:right w:val="single" w:sz="4" w:space="0" w:color="000000"/>
                  </w:tcBorders>
                  <w:noWrap/>
                  <w:vAlign w:val="center"/>
                  <w:hideMark/>
                </w:tcPr>
                <w:p w14:paraId="6C83A9D6"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3</w:t>
                  </w:r>
                </w:p>
              </w:tc>
              <w:tc>
                <w:tcPr>
                  <w:tcW w:w="364" w:type="dxa"/>
                  <w:tcBorders>
                    <w:top w:val="single" w:sz="4" w:space="0" w:color="000000"/>
                    <w:left w:val="nil"/>
                    <w:bottom w:val="single" w:sz="4" w:space="0" w:color="000000"/>
                    <w:right w:val="single" w:sz="4" w:space="0" w:color="000000"/>
                  </w:tcBorders>
                  <w:noWrap/>
                  <w:vAlign w:val="center"/>
                  <w:hideMark/>
                </w:tcPr>
                <w:p w14:paraId="12177466"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4</w:t>
                  </w:r>
                </w:p>
              </w:tc>
              <w:tc>
                <w:tcPr>
                  <w:tcW w:w="665" w:type="dxa"/>
                  <w:tcBorders>
                    <w:top w:val="single" w:sz="4" w:space="0" w:color="000000"/>
                    <w:left w:val="nil"/>
                    <w:bottom w:val="single" w:sz="4" w:space="0" w:color="000000"/>
                    <w:right w:val="single" w:sz="4" w:space="0" w:color="000000"/>
                  </w:tcBorders>
                  <w:noWrap/>
                  <w:vAlign w:val="center"/>
                  <w:hideMark/>
                </w:tcPr>
                <w:p w14:paraId="28D9380F"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5</w:t>
                  </w:r>
                </w:p>
              </w:tc>
              <w:tc>
                <w:tcPr>
                  <w:tcW w:w="364" w:type="dxa"/>
                  <w:tcBorders>
                    <w:top w:val="single" w:sz="4" w:space="0" w:color="000000"/>
                    <w:left w:val="nil"/>
                    <w:bottom w:val="single" w:sz="4" w:space="0" w:color="000000"/>
                    <w:right w:val="single" w:sz="4" w:space="0" w:color="000000"/>
                  </w:tcBorders>
                  <w:noWrap/>
                  <w:vAlign w:val="center"/>
                  <w:hideMark/>
                </w:tcPr>
                <w:p w14:paraId="30486A79"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6</w:t>
                  </w:r>
                </w:p>
              </w:tc>
              <w:tc>
                <w:tcPr>
                  <w:tcW w:w="736" w:type="dxa"/>
                  <w:tcBorders>
                    <w:top w:val="single" w:sz="4" w:space="0" w:color="000000"/>
                    <w:left w:val="nil"/>
                    <w:bottom w:val="single" w:sz="4" w:space="0" w:color="000000"/>
                    <w:right w:val="single" w:sz="4" w:space="0" w:color="000000"/>
                  </w:tcBorders>
                  <w:noWrap/>
                  <w:vAlign w:val="center"/>
                  <w:hideMark/>
                </w:tcPr>
                <w:p w14:paraId="65296152"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7</w:t>
                  </w:r>
                </w:p>
              </w:tc>
              <w:tc>
                <w:tcPr>
                  <w:tcW w:w="410" w:type="dxa"/>
                  <w:tcBorders>
                    <w:top w:val="single" w:sz="4" w:space="0" w:color="000000"/>
                    <w:left w:val="nil"/>
                    <w:bottom w:val="single" w:sz="4" w:space="0" w:color="000000"/>
                    <w:right w:val="single" w:sz="4" w:space="0" w:color="000000"/>
                  </w:tcBorders>
                  <w:noWrap/>
                  <w:vAlign w:val="center"/>
                  <w:hideMark/>
                </w:tcPr>
                <w:p w14:paraId="7F877DEC"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8</w:t>
                  </w:r>
                </w:p>
              </w:tc>
              <w:tc>
                <w:tcPr>
                  <w:tcW w:w="623" w:type="dxa"/>
                  <w:tcBorders>
                    <w:top w:val="single" w:sz="4" w:space="0" w:color="000000"/>
                    <w:left w:val="nil"/>
                    <w:bottom w:val="single" w:sz="4" w:space="0" w:color="000000"/>
                    <w:right w:val="single" w:sz="4" w:space="0" w:color="000000"/>
                  </w:tcBorders>
                  <w:noWrap/>
                  <w:vAlign w:val="center"/>
                  <w:hideMark/>
                </w:tcPr>
                <w:p w14:paraId="0BF6BF99"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9</w:t>
                  </w:r>
                </w:p>
              </w:tc>
              <w:tc>
                <w:tcPr>
                  <w:tcW w:w="364" w:type="dxa"/>
                  <w:tcBorders>
                    <w:top w:val="single" w:sz="4" w:space="0" w:color="000000"/>
                    <w:left w:val="nil"/>
                    <w:bottom w:val="single" w:sz="4" w:space="0" w:color="000000"/>
                    <w:right w:val="single" w:sz="4" w:space="0" w:color="000000"/>
                  </w:tcBorders>
                  <w:noWrap/>
                  <w:vAlign w:val="center"/>
                  <w:hideMark/>
                </w:tcPr>
                <w:p w14:paraId="1421039C"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10</w:t>
                  </w:r>
                </w:p>
              </w:tc>
              <w:tc>
                <w:tcPr>
                  <w:tcW w:w="771" w:type="dxa"/>
                  <w:tcBorders>
                    <w:top w:val="single" w:sz="4" w:space="0" w:color="000000"/>
                    <w:left w:val="nil"/>
                    <w:bottom w:val="single" w:sz="4" w:space="0" w:color="000000"/>
                    <w:right w:val="single" w:sz="4" w:space="0" w:color="000000"/>
                  </w:tcBorders>
                  <w:noWrap/>
                  <w:vAlign w:val="center"/>
                  <w:hideMark/>
                </w:tcPr>
                <w:p w14:paraId="519445E5"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11</w:t>
                  </w:r>
                </w:p>
              </w:tc>
              <w:tc>
                <w:tcPr>
                  <w:tcW w:w="812" w:type="dxa"/>
                  <w:tcBorders>
                    <w:top w:val="single" w:sz="4" w:space="0" w:color="000000"/>
                    <w:left w:val="nil"/>
                    <w:bottom w:val="single" w:sz="4" w:space="0" w:color="000000"/>
                    <w:right w:val="single" w:sz="4" w:space="0" w:color="000000"/>
                  </w:tcBorders>
                  <w:noWrap/>
                  <w:vAlign w:val="center"/>
                  <w:hideMark/>
                </w:tcPr>
                <w:p w14:paraId="404A544F"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12</w:t>
                  </w:r>
                </w:p>
              </w:tc>
              <w:tc>
                <w:tcPr>
                  <w:tcW w:w="736" w:type="dxa"/>
                  <w:tcBorders>
                    <w:top w:val="single" w:sz="4" w:space="0" w:color="000000"/>
                    <w:left w:val="nil"/>
                    <w:bottom w:val="single" w:sz="4" w:space="0" w:color="000000"/>
                    <w:right w:val="single" w:sz="4" w:space="0" w:color="000000"/>
                  </w:tcBorders>
                  <w:noWrap/>
                  <w:vAlign w:val="center"/>
                  <w:hideMark/>
                </w:tcPr>
                <w:p w14:paraId="7E9126AC"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13</w:t>
                  </w:r>
                </w:p>
              </w:tc>
              <w:tc>
                <w:tcPr>
                  <w:tcW w:w="364" w:type="dxa"/>
                  <w:tcBorders>
                    <w:top w:val="single" w:sz="4" w:space="0" w:color="000000"/>
                    <w:left w:val="nil"/>
                    <w:bottom w:val="single" w:sz="4" w:space="0" w:color="000000"/>
                    <w:right w:val="single" w:sz="4" w:space="0" w:color="000000"/>
                  </w:tcBorders>
                  <w:noWrap/>
                  <w:vAlign w:val="center"/>
                  <w:hideMark/>
                </w:tcPr>
                <w:p w14:paraId="21859BBB"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14</w:t>
                  </w:r>
                </w:p>
              </w:tc>
              <w:tc>
                <w:tcPr>
                  <w:tcW w:w="773" w:type="dxa"/>
                  <w:tcBorders>
                    <w:top w:val="single" w:sz="4" w:space="0" w:color="000000"/>
                    <w:left w:val="nil"/>
                    <w:bottom w:val="single" w:sz="4" w:space="0" w:color="000000"/>
                    <w:right w:val="single" w:sz="4" w:space="0" w:color="000000"/>
                  </w:tcBorders>
                  <w:noWrap/>
                  <w:vAlign w:val="center"/>
                  <w:hideMark/>
                </w:tcPr>
                <w:p w14:paraId="1DB42988"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15</w:t>
                  </w:r>
                </w:p>
              </w:tc>
              <w:tc>
                <w:tcPr>
                  <w:tcW w:w="709" w:type="dxa"/>
                  <w:tcBorders>
                    <w:top w:val="single" w:sz="4" w:space="0" w:color="000000"/>
                    <w:left w:val="nil"/>
                    <w:bottom w:val="single" w:sz="4" w:space="0" w:color="000000"/>
                    <w:right w:val="single" w:sz="4" w:space="0" w:color="000000"/>
                  </w:tcBorders>
                  <w:noWrap/>
                  <w:vAlign w:val="center"/>
                  <w:hideMark/>
                </w:tcPr>
                <w:p w14:paraId="23A9FCA8"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16</w:t>
                  </w:r>
                </w:p>
              </w:tc>
              <w:tc>
                <w:tcPr>
                  <w:tcW w:w="517" w:type="dxa"/>
                  <w:tcBorders>
                    <w:top w:val="single" w:sz="4" w:space="0" w:color="000000"/>
                    <w:left w:val="nil"/>
                    <w:bottom w:val="single" w:sz="4" w:space="0" w:color="000000"/>
                    <w:right w:val="single" w:sz="4" w:space="0" w:color="000000"/>
                  </w:tcBorders>
                  <w:noWrap/>
                  <w:vAlign w:val="center"/>
                  <w:hideMark/>
                </w:tcPr>
                <w:p w14:paraId="4B4E7FFD"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17</w:t>
                  </w:r>
                </w:p>
              </w:tc>
              <w:tc>
                <w:tcPr>
                  <w:tcW w:w="364" w:type="dxa"/>
                  <w:tcBorders>
                    <w:top w:val="single" w:sz="4" w:space="0" w:color="000000"/>
                    <w:left w:val="nil"/>
                    <w:bottom w:val="single" w:sz="4" w:space="0" w:color="000000"/>
                    <w:right w:val="single" w:sz="4" w:space="0" w:color="000000"/>
                  </w:tcBorders>
                  <w:noWrap/>
                  <w:vAlign w:val="center"/>
                  <w:hideMark/>
                </w:tcPr>
                <w:p w14:paraId="1D90E747"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18</w:t>
                  </w:r>
                </w:p>
              </w:tc>
              <w:tc>
                <w:tcPr>
                  <w:tcW w:w="739" w:type="dxa"/>
                  <w:tcBorders>
                    <w:top w:val="single" w:sz="4" w:space="0" w:color="000000"/>
                    <w:left w:val="nil"/>
                    <w:bottom w:val="single" w:sz="4" w:space="0" w:color="000000"/>
                    <w:right w:val="single" w:sz="4" w:space="0" w:color="000000"/>
                  </w:tcBorders>
                  <w:noWrap/>
                  <w:vAlign w:val="center"/>
                  <w:hideMark/>
                </w:tcPr>
                <w:p w14:paraId="5B054484"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19</w:t>
                  </w:r>
                </w:p>
              </w:tc>
              <w:tc>
                <w:tcPr>
                  <w:tcW w:w="845" w:type="dxa"/>
                  <w:tcBorders>
                    <w:top w:val="single" w:sz="4" w:space="0" w:color="000000"/>
                    <w:left w:val="nil"/>
                    <w:bottom w:val="single" w:sz="4" w:space="0" w:color="000000"/>
                    <w:right w:val="single" w:sz="4" w:space="0" w:color="000000"/>
                  </w:tcBorders>
                  <w:noWrap/>
                  <w:vAlign w:val="center"/>
                  <w:hideMark/>
                </w:tcPr>
                <w:p w14:paraId="74225EDB"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20</w:t>
                  </w:r>
                </w:p>
              </w:tc>
              <w:tc>
                <w:tcPr>
                  <w:tcW w:w="812" w:type="dxa"/>
                  <w:tcBorders>
                    <w:top w:val="single" w:sz="4" w:space="0" w:color="000000"/>
                    <w:left w:val="nil"/>
                    <w:bottom w:val="single" w:sz="4" w:space="0" w:color="000000"/>
                    <w:right w:val="single" w:sz="4" w:space="0" w:color="000000"/>
                  </w:tcBorders>
                  <w:noWrap/>
                  <w:vAlign w:val="center"/>
                  <w:hideMark/>
                </w:tcPr>
                <w:p w14:paraId="659DEEC4"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7F1824">
                    <w:rPr>
                      <w:rFonts w:ascii="Arial Narrow" w:eastAsia="Times New Roman" w:hAnsi="Arial Narrow" w:cs="Times New Roman"/>
                      <w:i/>
                      <w:iCs/>
                      <w:color w:val="000000"/>
                      <w:kern w:val="0"/>
                      <w:sz w:val="14"/>
                      <w:szCs w:val="14"/>
                      <w:lang w:eastAsia="pl-PL" w:bidi="ar-SA"/>
                    </w:rPr>
                    <w:t>21</w:t>
                  </w:r>
                </w:p>
              </w:tc>
            </w:tr>
            <w:tr w:rsidR="007F1824" w:rsidRPr="007F1824" w14:paraId="4A562462" w14:textId="77777777" w:rsidTr="007F1824">
              <w:trPr>
                <w:trHeight w:val="619"/>
              </w:trPr>
              <w:tc>
                <w:tcPr>
                  <w:tcW w:w="300" w:type="dxa"/>
                  <w:tcBorders>
                    <w:top w:val="nil"/>
                    <w:left w:val="single" w:sz="4" w:space="0" w:color="000000"/>
                    <w:bottom w:val="single" w:sz="4" w:space="0" w:color="000000"/>
                    <w:right w:val="single" w:sz="4" w:space="0" w:color="000000"/>
                  </w:tcBorders>
                  <w:noWrap/>
                  <w:vAlign w:val="center"/>
                  <w:hideMark/>
                </w:tcPr>
                <w:p w14:paraId="374548F9"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1.</w:t>
                  </w:r>
                </w:p>
              </w:tc>
              <w:tc>
                <w:tcPr>
                  <w:tcW w:w="996" w:type="dxa"/>
                  <w:tcBorders>
                    <w:top w:val="nil"/>
                    <w:left w:val="nil"/>
                    <w:bottom w:val="single" w:sz="4" w:space="0" w:color="000000"/>
                    <w:right w:val="single" w:sz="4" w:space="0" w:color="000000"/>
                  </w:tcBorders>
                  <w:vAlign w:val="center"/>
                  <w:hideMark/>
                </w:tcPr>
                <w:p w14:paraId="780D3C1D" w14:textId="77777777" w:rsidR="007F1824" w:rsidRPr="007F1824" w:rsidRDefault="007F1824" w:rsidP="007F1824">
                  <w:pPr>
                    <w:widowControl/>
                    <w:suppressAutoHyphens w:val="0"/>
                    <w:autoSpaceDN/>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Wartości niematerialne    i prawne</w:t>
                  </w:r>
                </w:p>
              </w:tc>
              <w:tc>
                <w:tcPr>
                  <w:tcW w:w="813" w:type="dxa"/>
                  <w:tcBorders>
                    <w:top w:val="nil"/>
                    <w:left w:val="nil"/>
                    <w:bottom w:val="single" w:sz="4" w:space="0" w:color="000000"/>
                    <w:right w:val="single" w:sz="4" w:space="0" w:color="000000"/>
                  </w:tcBorders>
                  <w:noWrap/>
                  <w:vAlign w:val="center"/>
                  <w:hideMark/>
                </w:tcPr>
                <w:p w14:paraId="2EC82590"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4 033,90</w:t>
                  </w:r>
                </w:p>
              </w:tc>
              <w:tc>
                <w:tcPr>
                  <w:tcW w:w="364" w:type="dxa"/>
                  <w:tcBorders>
                    <w:top w:val="nil"/>
                    <w:left w:val="nil"/>
                    <w:bottom w:val="single" w:sz="4" w:space="0" w:color="000000"/>
                    <w:right w:val="single" w:sz="4" w:space="0" w:color="000000"/>
                  </w:tcBorders>
                  <w:noWrap/>
                  <w:vAlign w:val="center"/>
                  <w:hideMark/>
                </w:tcPr>
                <w:p w14:paraId="4F55D70F"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665" w:type="dxa"/>
                  <w:tcBorders>
                    <w:top w:val="nil"/>
                    <w:left w:val="nil"/>
                    <w:bottom w:val="single" w:sz="4" w:space="0" w:color="000000"/>
                    <w:right w:val="single" w:sz="4" w:space="0" w:color="000000"/>
                  </w:tcBorders>
                  <w:noWrap/>
                  <w:vAlign w:val="center"/>
                  <w:hideMark/>
                </w:tcPr>
                <w:p w14:paraId="2B283ACF"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5 500,00</w:t>
                  </w:r>
                </w:p>
              </w:tc>
              <w:tc>
                <w:tcPr>
                  <w:tcW w:w="364" w:type="dxa"/>
                  <w:tcBorders>
                    <w:top w:val="nil"/>
                    <w:left w:val="nil"/>
                    <w:bottom w:val="single" w:sz="4" w:space="0" w:color="000000"/>
                    <w:right w:val="single" w:sz="4" w:space="0" w:color="000000"/>
                  </w:tcBorders>
                  <w:noWrap/>
                  <w:vAlign w:val="center"/>
                  <w:hideMark/>
                </w:tcPr>
                <w:p w14:paraId="4164E14E"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736" w:type="dxa"/>
                  <w:tcBorders>
                    <w:top w:val="nil"/>
                    <w:left w:val="nil"/>
                    <w:bottom w:val="single" w:sz="4" w:space="0" w:color="000000"/>
                    <w:right w:val="single" w:sz="4" w:space="0" w:color="000000"/>
                  </w:tcBorders>
                  <w:noWrap/>
                  <w:vAlign w:val="center"/>
                  <w:hideMark/>
                </w:tcPr>
                <w:p w14:paraId="56243976"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5 500,00</w:t>
                  </w:r>
                </w:p>
              </w:tc>
              <w:tc>
                <w:tcPr>
                  <w:tcW w:w="410" w:type="dxa"/>
                  <w:tcBorders>
                    <w:top w:val="nil"/>
                    <w:left w:val="nil"/>
                    <w:bottom w:val="single" w:sz="4" w:space="0" w:color="000000"/>
                    <w:right w:val="single" w:sz="4" w:space="0" w:color="000000"/>
                  </w:tcBorders>
                  <w:noWrap/>
                  <w:vAlign w:val="center"/>
                  <w:hideMark/>
                </w:tcPr>
                <w:p w14:paraId="46BD52B0"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623" w:type="dxa"/>
                  <w:tcBorders>
                    <w:top w:val="nil"/>
                    <w:left w:val="nil"/>
                    <w:bottom w:val="single" w:sz="4" w:space="0" w:color="000000"/>
                    <w:right w:val="single" w:sz="4" w:space="0" w:color="000000"/>
                  </w:tcBorders>
                  <w:noWrap/>
                  <w:vAlign w:val="center"/>
                  <w:hideMark/>
                </w:tcPr>
                <w:p w14:paraId="6819F636"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4707725F"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771" w:type="dxa"/>
                  <w:tcBorders>
                    <w:top w:val="nil"/>
                    <w:left w:val="nil"/>
                    <w:bottom w:val="single" w:sz="4" w:space="0" w:color="000000"/>
                    <w:right w:val="single" w:sz="4" w:space="0" w:color="000000"/>
                  </w:tcBorders>
                  <w:noWrap/>
                  <w:vAlign w:val="center"/>
                  <w:hideMark/>
                </w:tcPr>
                <w:p w14:paraId="03BB90EA"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812" w:type="dxa"/>
                  <w:tcBorders>
                    <w:top w:val="nil"/>
                    <w:left w:val="nil"/>
                    <w:bottom w:val="single" w:sz="4" w:space="0" w:color="000000"/>
                    <w:right w:val="single" w:sz="4" w:space="0" w:color="000000"/>
                  </w:tcBorders>
                  <w:noWrap/>
                  <w:vAlign w:val="center"/>
                  <w:hideMark/>
                </w:tcPr>
                <w:p w14:paraId="4DB311C9"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9 533,90</w:t>
                  </w:r>
                </w:p>
              </w:tc>
              <w:tc>
                <w:tcPr>
                  <w:tcW w:w="736" w:type="dxa"/>
                  <w:tcBorders>
                    <w:top w:val="nil"/>
                    <w:left w:val="nil"/>
                    <w:bottom w:val="single" w:sz="4" w:space="0" w:color="000000"/>
                    <w:right w:val="single" w:sz="4" w:space="0" w:color="000000"/>
                  </w:tcBorders>
                  <w:noWrap/>
                  <w:vAlign w:val="center"/>
                  <w:hideMark/>
                </w:tcPr>
                <w:p w14:paraId="69BE2F5F"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4 033,90</w:t>
                  </w:r>
                </w:p>
              </w:tc>
              <w:tc>
                <w:tcPr>
                  <w:tcW w:w="364" w:type="dxa"/>
                  <w:tcBorders>
                    <w:top w:val="nil"/>
                    <w:left w:val="nil"/>
                    <w:bottom w:val="single" w:sz="4" w:space="0" w:color="000000"/>
                    <w:right w:val="single" w:sz="4" w:space="0" w:color="000000"/>
                  </w:tcBorders>
                  <w:noWrap/>
                  <w:vAlign w:val="center"/>
                  <w:hideMark/>
                </w:tcPr>
                <w:p w14:paraId="402C4A2B"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773" w:type="dxa"/>
                  <w:tcBorders>
                    <w:top w:val="nil"/>
                    <w:left w:val="nil"/>
                    <w:bottom w:val="single" w:sz="4" w:space="0" w:color="000000"/>
                    <w:right w:val="single" w:sz="4" w:space="0" w:color="000000"/>
                  </w:tcBorders>
                  <w:noWrap/>
                  <w:vAlign w:val="center"/>
                  <w:hideMark/>
                </w:tcPr>
                <w:p w14:paraId="7E263AB8"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1BA7A2A7"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5 500,00</w:t>
                  </w:r>
                </w:p>
              </w:tc>
              <w:tc>
                <w:tcPr>
                  <w:tcW w:w="517" w:type="dxa"/>
                  <w:tcBorders>
                    <w:top w:val="nil"/>
                    <w:left w:val="nil"/>
                    <w:bottom w:val="single" w:sz="4" w:space="0" w:color="000000"/>
                    <w:right w:val="single" w:sz="4" w:space="0" w:color="000000"/>
                  </w:tcBorders>
                  <w:noWrap/>
                  <w:vAlign w:val="center"/>
                  <w:hideMark/>
                </w:tcPr>
                <w:p w14:paraId="09179340"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5 500,00</w:t>
                  </w:r>
                </w:p>
              </w:tc>
              <w:tc>
                <w:tcPr>
                  <w:tcW w:w="364" w:type="dxa"/>
                  <w:tcBorders>
                    <w:top w:val="nil"/>
                    <w:left w:val="nil"/>
                    <w:bottom w:val="single" w:sz="4" w:space="0" w:color="000000"/>
                    <w:right w:val="single" w:sz="4" w:space="0" w:color="000000"/>
                  </w:tcBorders>
                  <w:noWrap/>
                  <w:vAlign w:val="center"/>
                  <w:hideMark/>
                </w:tcPr>
                <w:p w14:paraId="6878A2AA"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739" w:type="dxa"/>
                  <w:tcBorders>
                    <w:top w:val="nil"/>
                    <w:left w:val="nil"/>
                    <w:bottom w:val="single" w:sz="4" w:space="0" w:color="000000"/>
                    <w:right w:val="single" w:sz="4" w:space="0" w:color="000000"/>
                  </w:tcBorders>
                  <w:noWrap/>
                  <w:vAlign w:val="center"/>
                  <w:hideMark/>
                </w:tcPr>
                <w:p w14:paraId="7705383C"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9 533,90</w:t>
                  </w:r>
                </w:p>
              </w:tc>
              <w:tc>
                <w:tcPr>
                  <w:tcW w:w="845" w:type="dxa"/>
                  <w:tcBorders>
                    <w:top w:val="nil"/>
                    <w:left w:val="nil"/>
                    <w:bottom w:val="single" w:sz="4" w:space="0" w:color="000000"/>
                    <w:right w:val="single" w:sz="4" w:space="0" w:color="000000"/>
                  </w:tcBorders>
                  <w:noWrap/>
                  <w:vAlign w:val="center"/>
                  <w:hideMark/>
                </w:tcPr>
                <w:p w14:paraId="1E4B45E4"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812" w:type="dxa"/>
                  <w:tcBorders>
                    <w:top w:val="nil"/>
                    <w:left w:val="nil"/>
                    <w:bottom w:val="single" w:sz="4" w:space="0" w:color="000000"/>
                    <w:right w:val="single" w:sz="4" w:space="0" w:color="000000"/>
                  </w:tcBorders>
                  <w:noWrap/>
                  <w:vAlign w:val="center"/>
                  <w:hideMark/>
                </w:tcPr>
                <w:p w14:paraId="48C50B7A"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r>
            <w:tr w:rsidR="007F1824" w:rsidRPr="007F1824" w14:paraId="49D83F23" w14:textId="77777777" w:rsidTr="007F1824">
              <w:trPr>
                <w:trHeight w:val="540"/>
              </w:trPr>
              <w:tc>
                <w:tcPr>
                  <w:tcW w:w="300" w:type="dxa"/>
                  <w:tcBorders>
                    <w:top w:val="nil"/>
                    <w:left w:val="single" w:sz="4" w:space="0" w:color="000000"/>
                    <w:bottom w:val="single" w:sz="4" w:space="0" w:color="000000"/>
                    <w:right w:val="single" w:sz="4" w:space="0" w:color="000000"/>
                  </w:tcBorders>
                  <w:noWrap/>
                  <w:vAlign w:val="center"/>
                  <w:hideMark/>
                </w:tcPr>
                <w:p w14:paraId="65BE8E01" w14:textId="77777777" w:rsidR="007F1824" w:rsidRPr="007F1824" w:rsidRDefault="007F1824" w:rsidP="007F1824">
                  <w:pPr>
                    <w:widowControl/>
                    <w:suppressAutoHyphens w:val="0"/>
                    <w:autoSpaceDN/>
                    <w:jc w:val="center"/>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2.</w:t>
                  </w:r>
                </w:p>
              </w:tc>
              <w:tc>
                <w:tcPr>
                  <w:tcW w:w="996" w:type="dxa"/>
                  <w:tcBorders>
                    <w:top w:val="nil"/>
                    <w:left w:val="nil"/>
                    <w:bottom w:val="single" w:sz="4" w:space="0" w:color="000000"/>
                    <w:right w:val="single" w:sz="4" w:space="0" w:color="000000"/>
                  </w:tcBorders>
                  <w:noWrap/>
                  <w:vAlign w:val="center"/>
                  <w:hideMark/>
                </w:tcPr>
                <w:p w14:paraId="5A5AA45D" w14:textId="77777777" w:rsidR="007F1824" w:rsidRPr="007F1824" w:rsidRDefault="007F1824" w:rsidP="007F1824">
                  <w:pPr>
                    <w:widowControl/>
                    <w:suppressAutoHyphens w:val="0"/>
                    <w:autoSpaceDN/>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Środki trwałe</w:t>
                  </w:r>
                </w:p>
              </w:tc>
              <w:tc>
                <w:tcPr>
                  <w:tcW w:w="813" w:type="dxa"/>
                  <w:tcBorders>
                    <w:top w:val="nil"/>
                    <w:left w:val="nil"/>
                    <w:bottom w:val="single" w:sz="4" w:space="0" w:color="000000"/>
                    <w:right w:val="single" w:sz="4" w:space="0" w:color="000000"/>
                  </w:tcBorders>
                  <w:noWrap/>
                  <w:vAlign w:val="center"/>
                  <w:hideMark/>
                </w:tcPr>
                <w:p w14:paraId="6260621E"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2 943 618,10</w:t>
                  </w:r>
                </w:p>
              </w:tc>
              <w:tc>
                <w:tcPr>
                  <w:tcW w:w="364" w:type="dxa"/>
                  <w:tcBorders>
                    <w:top w:val="nil"/>
                    <w:left w:val="nil"/>
                    <w:bottom w:val="single" w:sz="4" w:space="0" w:color="000000"/>
                    <w:right w:val="single" w:sz="4" w:space="0" w:color="000000"/>
                  </w:tcBorders>
                  <w:noWrap/>
                  <w:vAlign w:val="center"/>
                  <w:hideMark/>
                </w:tcPr>
                <w:p w14:paraId="26A10D0A"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665" w:type="dxa"/>
                  <w:tcBorders>
                    <w:top w:val="nil"/>
                    <w:left w:val="nil"/>
                    <w:bottom w:val="single" w:sz="4" w:space="0" w:color="000000"/>
                    <w:right w:val="single" w:sz="4" w:space="0" w:color="000000"/>
                  </w:tcBorders>
                  <w:noWrap/>
                  <w:vAlign w:val="center"/>
                  <w:hideMark/>
                </w:tcPr>
                <w:p w14:paraId="0B7E00F1"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7BF6DBE3"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736" w:type="dxa"/>
                  <w:tcBorders>
                    <w:top w:val="nil"/>
                    <w:left w:val="nil"/>
                    <w:bottom w:val="single" w:sz="4" w:space="0" w:color="000000"/>
                    <w:right w:val="single" w:sz="4" w:space="0" w:color="000000"/>
                  </w:tcBorders>
                  <w:noWrap/>
                  <w:vAlign w:val="center"/>
                  <w:hideMark/>
                </w:tcPr>
                <w:p w14:paraId="485E9876"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410" w:type="dxa"/>
                  <w:tcBorders>
                    <w:top w:val="nil"/>
                    <w:left w:val="nil"/>
                    <w:bottom w:val="single" w:sz="4" w:space="0" w:color="000000"/>
                    <w:right w:val="single" w:sz="4" w:space="0" w:color="000000"/>
                  </w:tcBorders>
                  <w:noWrap/>
                  <w:vAlign w:val="center"/>
                  <w:hideMark/>
                </w:tcPr>
                <w:p w14:paraId="700BD097"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623" w:type="dxa"/>
                  <w:tcBorders>
                    <w:top w:val="nil"/>
                    <w:left w:val="nil"/>
                    <w:bottom w:val="single" w:sz="4" w:space="0" w:color="000000"/>
                    <w:right w:val="single" w:sz="4" w:space="0" w:color="000000"/>
                  </w:tcBorders>
                  <w:noWrap/>
                  <w:vAlign w:val="center"/>
                  <w:hideMark/>
                </w:tcPr>
                <w:p w14:paraId="104E1603"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1EAF2CF6"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771" w:type="dxa"/>
                  <w:tcBorders>
                    <w:top w:val="nil"/>
                    <w:left w:val="nil"/>
                    <w:bottom w:val="single" w:sz="4" w:space="0" w:color="000000"/>
                    <w:right w:val="single" w:sz="4" w:space="0" w:color="000000"/>
                  </w:tcBorders>
                  <w:noWrap/>
                  <w:vAlign w:val="center"/>
                  <w:hideMark/>
                </w:tcPr>
                <w:p w14:paraId="415C91DD"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812" w:type="dxa"/>
                  <w:tcBorders>
                    <w:top w:val="nil"/>
                    <w:left w:val="nil"/>
                    <w:bottom w:val="single" w:sz="4" w:space="0" w:color="000000"/>
                    <w:right w:val="single" w:sz="4" w:space="0" w:color="000000"/>
                  </w:tcBorders>
                  <w:noWrap/>
                  <w:vAlign w:val="center"/>
                  <w:hideMark/>
                </w:tcPr>
                <w:p w14:paraId="1754A37B"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2 943 618,10</w:t>
                  </w:r>
                </w:p>
              </w:tc>
              <w:tc>
                <w:tcPr>
                  <w:tcW w:w="736" w:type="dxa"/>
                  <w:tcBorders>
                    <w:top w:val="nil"/>
                    <w:left w:val="nil"/>
                    <w:bottom w:val="single" w:sz="4" w:space="0" w:color="000000"/>
                    <w:right w:val="single" w:sz="4" w:space="0" w:color="000000"/>
                  </w:tcBorders>
                  <w:noWrap/>
                  <w:vAlign w:val="center"/>
                  <w:hideMark/>
                </w:tcPr>
                <w:p w14:paraId="25105125"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587 210,38</w:t>
                  </w:r>
                </w:p>
              </w:tc>
              <w:tc>
                <w:tcPr>
                  <w:tcW w:w="364" w:type="dxa"/>
                  <w:tcBorders>
                    <w:top w:val="nil"/>
                    <w:left w:val="nil"/>
                    <w:bottom w:val="single" w:sz="4" w:space="0" w:color="000000"/>
                    <w:right w:val="single" w:sz="4" w:space="0" w:color="000000"/>
                  </w:tcBorders>
                  <w:noWrap/>
                  <w:vAlign w:val="center"/>
                  <w:hideMark/>
                </w:tcPr>
                <w:p w14:paraId="7E05B967"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773" w:type="dxa"/>
                  <w:tcBorders>
                    <w:top w:val="nil"/>
                    <w:left w:val="nil"/>
                    <w:bottom w:val="single" w:sz="4" w:space="0" w:color="000000"/>
                    <w:right w:val="single" w:sz="4" w:space="0" w:color="000000"/>
                  </w:tcBorders>
                  <w:noWrap/>
                  <w:vAlign w:val="center"/>
                  <w:hideMark/>
                </w:tcPr>
                <w:p w14:paraId="3CA690C4"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68 254,91</w:t>
                  </w:r>
                </w:p>
              </w:tc>
              <w:tc>
                <w:tcPr>
                  <w:tcW w:w="709" w:type="dxa"/>
                  <w:tcBorders>
                    <w:top w:val="nil"/>
                    <w:left w:val="nil"/>
                    <w:bottom w:val="single" w:sz="4" w:space="0" w:color="000000"/>
                    <w:right w:val="single" w:sz="4" w:space="0" w:color="000000"/>
                  </w:tcBorders>
                  <w:noWrap/>
                  <w:vAlign w:val="center"/>
                  <w:hideMark/>
                </w:tcPr>
                <w:p w14:paraId="5D0C7BDA"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517" w:type="dxa"/>
                  <w:tcBorders>
                    <w:top w:val="nil"/>
                    <w:left w:val="nil"/>
                    <w:bottom w:val="single" w:sz="4" w:space="0" w:color="000000"/>
                    <w:right w:val="single" w:sz="4" w:space="0" w:color="000000"/>
                  </w:tcBorders>
                  <w:noWrap/>
                  <w:vAlign w:val="center"/>
                  <w:hideMark/>
                </w:tcPr>
                <w:p w14:paraId="42F8536E"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68 254,91</w:t>
                  </w:r>
                </w:p>
              </w:tc>
              <w:tc>
                <w:tcPr>
                  <w:tcW w:w="364" w:type="dxa"/>
                  <w:tcBorders>
                    <w:top w:val="nil"/>
                    <w:left w:val="nil"/>
                    <w:bottom w:val="single" w:sz="4" w:space="0" w:color="000000"/>
                    <w:right w:val="single" w:sz="4" w:space="0" w:color="000000"/>
                  </w:tcBorders>
                  <w:noWrap/>
                  <w:vAlign w:val="center"/>
                  <w:hideMark/>
                </w:tcPr>
                <w:p w14:paraId="4BA578C1"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739" w:type="dxa"/>
                  <w:tcBorders>
                    <w:top w:val="nil"/>
                    <w:left w:val="nil"/>
                    <w:bottom w:val="single" w:sz="4" w:space="0" w:color="000000"/>
                    <w:right w:val="single" w:sz="4" w:space="0" w:color="000000"/>
                  </w:tcBorders>
                  <w:noWrap/>
                  <w:vAlign w:val="center"/>
                  <w:hideMark/>
                </w:tcPr>
                <w:p w14:paraId="26165D21"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655 465,29</w:t>
                  </w:r>
                </w:p>
              </w:tc>
              <w:tc>
                <w:tcPr>
                  <w:tcW w:w="845" w:type="dxa"/>
                  <w:tcBorders>
                    <w:top w:val="nil"/>
                    <w:left w:val="nil"/>
                    <w:bottom w:val="single" w:sz="4" w:space="0" w:color="000000"/>
                    <w:right w:val="single" w:sz="4" w:space="0" w:color="000000"/>
                  </w:tcBorders>
                  <w:noWrap/>
                  <w:vAlign w:val="center"/>
                  <w:hideMark/>
                </w:tcPr>
                <w:p w14:paraId="42FF8CBC"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2 356 407,72</w:t>
                  </w:r>
                </w:p>
              </w:tc>
              <w:tc>
                <w:tcPr>
                  <w:tcW w:w="812" w:type="dxa"/>
                  <w:tcBorders>
                    <w:top w:val="nil"/>
                    <w:left w:val="nil"/>
                    <w:bottom w:val="single" w:sz="4" w:space="0" w:color="000000"/>
                    <w:right w:val="single" w:sz="4" w:space="0" w:color="000000"/>
                  </w:tcBorders>
                  <w:noWrap/>
                  <w:vAlign w:val="center"/>
                  <w:hideMark/>
                </w:tcPr>
                <w:p w14:paraId="60C6E8A7"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2 288 152,81</w:t>
                  </w:r>
                </w:p>
              </w:tc>
            </w:tr>
            <w:tr w:rsidR="007F1824" w:rsidRPr="007F1824" w14:paraId="51714F77" w14:textId="77777777" w:rsidTr="007F1824">
              <w:trPr>
                <w:trHeight w:val="405"/>
              </w:trPr>
              <w:tc>
                <w:tcPr>
                  <w:tcW w:w="300" w:type="dxa"/>
                  <w:tcBorders>
                    <w:top w:val="nil"/>
                    <w:left w:val="single" w:sz="4" w:space="0" w:color="000000"/>
                    <w:bottom w:val="single" w:sz="4" w:space="0" w:color="000000"/>
                    <w:right w:val="single" w:sz="4" w:space="0" w:color="000000"/>
                  </w:tcBorders>
                  <w:noWrap/>
                  <w:vAlign w:val="center"/>
                  <w:hideMark/>
                </w:tcPr>
                <w:p w14:paraId="07FAEDD9"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1)</w:t>
                  </w:r>
                </w:p>
              </w:tc>
              <w:tc>
                <w:tcPr>
                  <w:tcW w:w="996" w:type="dxa"/>
                  <w:tcBorders>
                    <w:top w:val="nil"/>
                    <w:left w:val="nil"/>
                    <w:bottom w:val="single" w:sz="4" w:space="0" w:color="000000"/>
                    <w:right w:val="single" w:sz="4" w:space="0" w:color="000000"/>
                  </w:tcBorders>
                  <w:vAlign w:val="center"/>
                  <w:hideMark/>
                </w:tcPr>
                <w:p w14:paraId="40833FED" w14:textId="77777777" w:rsidR="007F1824" w:rsidRPr="007F1824" w:rsidRDefault="007F1824" w:rsidP="007F1824">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grunty</w:t>
                  </w:r>
                </w:p>
              </w:tc>
              <w:tc>
                <w:tcPr>
                  <w:tcW w:w="813" w:type="dxa"/>
                  <w:tcBorders>
                    <w:top w:val="nil"/>
                    <w:left w:val="nil"/>
                    <w:bottom w:val="single" w:sz="4" w:space="0" w:color="000000"/>
                    <w:right w:val="single" w:sz="4" w:space="0" w:color="000000"/>
                  </w:tcBorders>
                  <w:noWrap/>
                  <w:vAlign w:val="center"/>
                  <w:hideMark/>
                </w:tcPr>
                <w:p w14:paraId="06383361"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408 660,00</w:t>
                  </w:r>
                </w:p>
              </w:tc>
              <w:tc>
                <w:tcPr>
                  <w:tcW w:w="364" w:type="dxa"/>
                  <w:tcBorders>
                    <w:top w:val="nil"/>
                    <w:left w:val="nil"/>
                    <w:bottom w:val="single" w:sz="4" w:space="0" w:color="000000"/>
                    <w:right w:val="single" w:sz="4" w:space="0" w:color="000000"/>
                  </w:tcBorders>
                  <w:noWrap/>
                  <w:vAlign w:val="center"/>
                  <w:hideMark/>
                </w:tcPr>
                <w:p w14:paraId="3517C045"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665" w:type="dxa"/>
                  <w:tcBorders>
                    <w:top w:val="nil"/>
                    <w:left w:val="nil"/>
                    <w:bottom w:val="single" w:sz="4" w:space="0" w:color="000000"/>
                    <w:right w:val="single" w:sz="4" w:space="0" w:color="000000"/>
                  </w:tcBorders>
                  <w:noWrap/>
                  <w:vAlign w:val="center"/>
                  <w:hideMark/>
                </w:tcPr>
                <w:p w14:paraId="6B37DB19"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58DD4B96"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36" w:type="dxa"/>
                  <w:tcBorders>
                    <w:top w:val="nil"/>
                    <w:left w:val="nil"/>
                    <w:bottom w:val="single" w:sz="4" w:space="0" w:color="000000"/>
                    <w:right w:val="single" w:sz="4" w:space="0" w:color="000000"/>
                  </w:tcBorders>
                  <w:noWrap/>
                  <w:vAlign w:val="center"/>
                  <w:hideMark/>
                </w:tcPr>
                <w:p w14:paraId="3CA99CEC"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410" w:type="dxa"/>
                  <w:tcBorders>
                    <w:top w:val="nil"/>
                    <w:left w:val="nil"/>
                    <w:bottom w:val="single" w:sz="4" w:space="0" w:color="000000"/>
                    <w:right w:val="single" w:sz="4" w:space="0" w:color="000000"/>
                  </w:tcBorders>
                  <w:noWrap/>
                  <w:vAlign w:val="center"/>
                  <w:hideMark/>
                </w:tcPr>
                <w:p w14:paraId="51F5E4FF"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623" w:type="dxa"/>
                  <w:tcBorders>
                    <w:top w:val="nil"/>
                    <w:left w:val="nil"/>
                    <w:bottom w:val="single" w:sz="4" w:space="0" w:color="000000"/>
                    <w:right w:val="single" w:sz="4" w:space="0" w:color="000000"/>
                  </w:tcBorders>
                  <w:noWrap/>
                  <w:vAlign w:val="center"/>
                  <w:hideMark/>
                </w:tcPr>
                <w:p w14:paraId="615EED9E"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11CE9E38"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71" w:type="dxa"/>
                  <w:tcBorders>
                    <w:top w:val="nil"/>
                    <w:left w:val="nil"/>
                    <w:bottom w:val="single" w:sz="4" w:space="0" w:color="000000"/>
                    <w:right w:val="single" w:sz="4" w:space="0" w:color="000000"/>
                  </w:tcBorders>
                  <w:noWrap/>
                  <w:vAlign w:val="center"/>
                  <w:hideMark/>
                </w:tcPr>
                <w:p w14:paraId="3E987953"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812" w:type="dxa"/>
                  <w:tcBorders>
                    <w:top w:val="nil"/>
                    <w:left w:val="nil"/>
                    <w:bottom w:val="single" w:sz="4" w:space="0" w:color="000000"/>
                    <w:right w:val="single" w:sz="4" w:space="0" w:color="000000"/>
                  </w:tcBorders>
                  <w:noWrap/>
                  <w:vAlign w:val="center"/>
                  <w:hideMark/>
                </w:tcPr>
                <w:p w14:paraId="7A733AB8"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408 660,00</w:t>
                  </w:r>
                </w:p>
              </w:tc>
              <w:tc>
                <w:tcPr>
                  <w:tcW w:w="736" w:type="dxa"/>
                  <w:tcBorders>
                    <w:top w:val="nil"/>
                    <w:left w:val="nil"/>
                    <w:bottom w:val="single" w:sz="4" w:space="0" w:color="000000"/>
                    <w:right w:val="single" w:sz="4" w:space="0" w:color="000000"/>
                  </w:tcBorders>
                  <w:noWrap/>
                  <w:vAlign w:val="center"/>
                  <w:hideMark/>
                </w:tcPr>
                <w:p w14:paraId="31A08F51"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 </w:t>
                  </w:r>
                </w:p>
              </w:tc>
              <w:tc>
                <w:tcPr>
                  <w:tcW w:w="364" w:type="dxa"/>
                  <w:tcBorders>
                    <w:top w:val="nil"/>
                    <w:left w:val="nil"/>
                    <w:bottom w:val="single" w:sz="4" w:space="0" w:color="000000"/>
                    <w:right w:val="single" w:sz="4" w:space="0" w:color="000000"/>
                  </w:tcBorders>
                  <w:noWrap/>
                  <w:vAlign w:val="center"/>
                  <w:hideMark/>
                </w:tcPr>
                <w:p w14:paraId="77A6F49C"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 </w:t>
                  </w:r>
                </w:p>
              </w:tc>
              <w:tc>
                <w:tcPr>
                  <w:tcW w:w="773" w:type="dxa"/>
                  <w:tcBorders>
                    <w:top w:val="nil"/>
                    <w:left w:val="nil"/>
                    <w:bottom w:val="single" w:sz="4" w:space="0" w:color="000000"/>
                    <w:right w:val="single" w:sz="4" w:space="0" w:color="000000"/>
                  </w:tcBorders>
                  <w:noWrap/>
                  <w:vAlign w:val="center"/>
                  <w:hideMark/>
                </w:tcPr>
                <w:p w14:paraId="5B02EADF"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 </w:t>
                  </w:r>
                </w:p>
              </w:tc>
              <w:tc>
                <w:tcPr>
                  <w:tcW w:w="709" w:type="dxa"/>
                  <w:tcBorders>
                    <w:top w:val="nil"/>
                    <w:left w:val="nil"/>
                    <w:bottom w:val="single" w:sz="4" w:space="0" w:color="000000"/>
                    <w:right w:val="single" w:sz="4" w:space="0" w:color="000000"/>
                  </w:tcBorders>
                  <w:noWrap/>
                  <w:vAlign w:val="center"/>
                  <w:hideMark/>
                </w:tcPr>
                <w:p w14:paraId="19F963ED"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 </w:t>
                  </w:r>
                </w:p>
              </w:tc>
              <w:tc>
                <w:tcPr>
                  <w:tcW w:w="517" w:type="dxa"/>
                  <w:tcBorders>
                    <w:top w:val="nil"/>
                    <w:left w:val="nil"/>
                    <w:bottom w:val="single" w:sz="4" w:space="0" w:color="000000"/>
                    <w:right w:val="single" w:sz="4" w:space="0" w:color="000000"/>
                  </w:tcBorders>
                  <w:noWrap/>
                  <w:vAlign w:val="center"/>
                  <w:hideMark/>
                </w:tcPr>
                <w:p w14:paraId="0F7B38B1"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053A9D9E"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 </w:t>
                  </w:r>
                </w:p>
              </w:tc>
              <w:tc>
                <w:tcPr>
                  <w:tcW w:w="739" w:type="dxa"/>
                  <w:tcBorders>
                    <w:top w:val="nil"/>
                    <w:left w:val="nil"/>
                    <w:bottom w:val="single" w:sz="4" w:space="0" w:color="000000"/>
                    <w:right w:val="single" w:sz="4" w:space="0" w:color="000000"/>
                  </w:tcBorders>
                  <w:noWrap/>
                  <w:vAlign w:val="center"/>
                  <w:hideMark/>
                </w:tcPr>
                <w:p w14:paraId="34BD7C88"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845" w:type="dxa"/>
                  <w:tcBorders>
                    <w:top w:val="nil"/>
                    <w:left w:val="nil"/>
                    <w:bottom w:val="single" w:sz="4" w:space="0" w:color="000000"/>
                    <w:right w:val="single" w:sz="4" w:space="0" w:color="000000"/>
                  </w:tcBorders>
                  <w:noWrap/>
                  <w:vAlign w:val="center"/>
                  <w:hideMark/>
                </w:tcPr>
                <w:p w14:paraId="645F47D8"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408 660,00</w:t>
                  </w:r>
                </w:p>
              </w:tc>
              <w:tc>
                <w:tcPr>
                  <w:tcW w:w="812" w:type="dxa"/>
                  <w:tcBorders>
                    <w:top w:val="nil"/>
                    <w:left w:val="nil"/>
                    <w:bottom w:val="single" w:sz="4" w:space="0" w:color="000000"/>
                    <w:right w:val="single" w:sz="4" w:space="0" w:color="000000"/>
                  </w:tcBorders>
                  <w:noWrap/>
                  <w:vAlign w:val="center"/>
                  <w:hideMark/>
                </w:tcPr>
                <w:p w14:paraId="36540C86"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408 660,00</w:t>
                  </w:r>
                </w:p>
              </w:tc>
            </w:tr>
            <w:tr w:rsidR="007F1824" w:rsidRPr="007F1824" w14:paraId="11EE98AA" w14:textId="77777777" w:rsidTr="007F1824">
              <w:trPr>
                <w:trHeight w:val="597"/>
              </w:trPr>
              <w:tc>
                <w:tcPr>
                  <w:tcW w:w="300" w:type="dxa"/>
                  <w:tcBorders>
                    <w:top w:val="nil"/>
                    <w:left w:val="single" w:sz="4" w:space="0" w:color="000000"/>
                    <w:bottom w:val="single" w:sz="4" w:space="0" w:color="000000"/>
                    <w:right w:val="single" w:sz="4" w:space="0" w:color="000000"/>
                  </w:tcBorders>
                  <w:noWrap/>
                  <w:vAlign w:val="center"/>
                  <w:hideMark/>
                </w:tcPr>
                <w:p w14:paraId="03025975"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2)</w:t>
                  </w:r>
                </w:p>
              </w:tc>
              <w:tc>
                <w:tcPr>
                  <w:tcW w:w="996" w:type="dxa"/>
                  <w:tcBorders>
                    <w:top w:val="nil"/>
                    <w:left w:val="nil"/>
                    <w:bottom w:val="single" w:sz="4" w:space="0" w:color="000000"/>
                    <w:right w:val="single" w:sz="4" w:space="0" w:color="000000"/>
                  </w:tcBorders>
                  <w:vAlign w:val="center"/>
                  <w:hideMark/>
                </w:tcPr>
                <w:p w14:paraId="0C2E8D16" w14:textId="77777777" w:rsidR="007F1824" w:rsidRPr="007F1824" w:rsidRDefault="007F1824" w:rsidP="007F1824">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budynki, lokale i obiekty inżynierii lądowej i wodnej</w:t>
                  </w:r>
                </w:p>
              </w:tc>
              <w:tc>
                <w:tcPr>
                  <w:tcW w:w="813" w:type="dxa"/>
                  <w:tcBorders>
                    <w:top w:val="nil"/>
                    <w:left w:val="nil"/>
                    <w:bottom w:val="single" w:sz="4" w:space="0" w:color="000000"/>
                    <w:right w:val="single" w:sz="4" w:space="0" w:color="000000"/>
                  </w:tcBorders>
                  <w:noWrap/>
                  <w:vAlign w:val="center"/>
                  <w:hideMark/>
                </w:tcPr>
                <w:p w14:paraId="70E74594"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2 455 173,58</w:t>
                  </w:r>
                </w:p>
              </w:tc>
              <w:tc>
                <w:tcPr>
                  <w:tcW w:w="364" w:type="dxa"/>
                  <w:tcBorders>
                    <w:top w:val="nil"/>
                    <w:left w:val="nil"/>
                    <w:bottom w:val="single" w:sz="4" w:space="0" w:color="000000"/>
                    <w:right w:val="single" w:sz="4" w:space="0" w:color="000000"/>
                  </w:tcBorders>
                  <w:noWrap/>
                  <w:vAlign w:val="center"/>
                  <w:hideMark/>
                </w:tcPr>
                <w:p w14:paraId="736545A0"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665" w:type="dxa"/>
                  <w:tcBorders>
                    <w:top w:val="nil"/>
                    <w:left w:val="nil"/>
                    <w:bottom w:val="single" w:sz="4" w:space="0" w:color="000000"/>
                    <w:right w:val="single" w:sz="4" w:space="0" w:color="000000"/>
                  </w:tcBorders>
                  <w:noWrap/>
                  <w:vAlign w:val="center"/>
                  <w:hideMark/>
                </w:tcPr>
                <w:p w14:paraId="0F2CFA66"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4B8EC47D"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36" w:type="dxa"/>
                  <w:tcBorders>
                    <w:top w:val="nil"/>
                    <w:left w:val="nil"/>
                    <w:bottom w:val="single" w:sz="4" w:space="0" w:color="000000"/>
                    <w:right w:val="single" w:sz="4" w:space="0" w:color="000000"/>
                  </w:tcBorders>
                  <w:noWrap/>
                  <w:vAlign w:val="center"/>
                  <w:hideMark/>
                </w:tcPr>
                <w:p w14:paraId="3F14DA68"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410" w:type="dxa"/>
                  <w:tcBorders>
                    <w:top w:val="nil"/>
                    <w:left w:val="nil"/>
                    <w:bottom w:val="single" w:sz="4" w:space="0" w:color="000000"/>
                    <w:right w:val="single" w:sz="4" w:space="0" w:color="000000"/>
                  </w:tcBorders>
                  <w:noWrap/>
                  <w:vAlign w:val="center"/>
                  <w:hideMark/>
                </w:tcPr>
                <w:p w14:paraId="1E0BB04F"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623" w:type="dxa"/>
                  <w:tcBorders>
                    <w:top w:val="nil"/>
                    <w:left w:val="nil"/>
                    <w:bottom w:val="single" w:sz="4" w:space="0" w:color="000000"/>
                    <w:right w:val="single" w:sz="4" w:space="0" w:color="000000"/>
                  </w:tcBorders>
                  <w:noWrap/>
                  <w:vAlign w:val="center"/>
                  <w:hideMark/>
                </w:tcPr>
                <w:p w14:paraId="41778916"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21D2E849"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71" w:type="dxa"/>
                  <w:tcBorders>
                    <w:top w:val="nil"/>
                    <w:left w:val="nil"/>
                    <w:bottom w:val="single" w:sz="4" w:space="0" w:color="000000"/>
                    <w:right w:val="single" w:sz="4" w:space="0" w:color="000000"/>
                  </w:tcBorders>
                  <w:noWrap/>
                  <w:vAlign w:val="center"/>
                  <w:hideMark/>
                </w:tcPr>
                <w:p w14:paraId="33260373"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812" w:type="dxa"/>
                  <w:tcBorders>
                    <w:top w:val="nil"/>
                    <w:left w:val="nil"/>
                    <w:bottom w:val="single" w:sz="4" w:space="0" w:color="000000"/>
                    <w:right w:val="single" w:sz="4" w:space="0" w:color="000000"/>
                  </w:tcBorders>
                  <w:noWrap/>
                  <w:vAlign w:val="center"/>
                  <w:hideMark/>
                </w:tcPr>
                <w:p w14:paraId="545F1ED4"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2 455 173,58</w:t>
                  </w:r>
                </w:p>
              </w:tc>
              <w:tc>
                <w:tcPr>
                  <w:tcW w:w="736" w:type="dxa"/>
                  <w:tcBorders>
                    <w:top w:val="nil"/>
                    <w:left w:val="nil"/>
                    <w:bottom w:val="single" w:sz="4" w:space="0" w:color="000000"/>
                    <w:right w:val="single" w:sz="4" w:space="0" w:color="000000"/>
                  </w:tcBorders>
                  <w:noWrap/>
                  <w:vAlign w:val="center"/>
                  <w:hideMark/>
                </w:tcPr>
                <w:p w14:paraId="602E92DD"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540 632,69</w:t>
                  </w:r>
                </w:p>
              </w:tc>
              <w:tc>
                <w:tcPr>
                  <w:tcW w:w="364" w:type="dxa"/>
                  <w:tcBorders>
                    <w:top w:val="nil"/>
                    <w:left w:val="nil"/>
                    <w:bottom w:val="single" w:sz="4" w:space="0" w:color="000000"/>
                    <w:right w:val="single" w:sz="4" w:space="0" w:color="000000"/>
                  </w:tcBorders>
                  <w:noWrap/>
                  <w:vAlign w:val="center"/>
                  <w:hideMark/>
                </w:tcPr>
                <w:p w14:paraId="75C51F0B"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73" w:type="dxa"/>
                  <w:tcBorders>
                    <w:top w:val="nil"/>
                    <w:left w:val="nil"/>
                    <w:bottom w:val="single" w:sz="4" w:space="0" w:color="000000"/>
                    <w:right w:val="single" w:sz="4" w:space="0" w:color="000000"/>
                  </w:tcBorders>
                  <w:noWrap/>
                  <w:vAlign w:val="center"/>
                  <w:hideMark/>
                </w:tcPr>
                <w:p w14:paraId="2644E561"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60 993,39</w:t>
                  </w:r>
                </w:p>
              </w:tc>
              <w:tc>
                <w:tcPr>
                  <w:tcW w:w="709" w:type="dxa"/>
                  <w:tcBorders>
                    <w:top w:val="nil"/>
                    <w:left w:val="nil"/>
                    <w:bottom w:val="single" w:sz="4" w:space="0" w:color="000000"/>
                    <w:right w:val="single" w:sz="4" w:space="0" w:color="000000"/>
                  </w:tcBorders>
                  <w:noWrap/>
                  <w:vAlign w:val="center"/>
                  <w:hideMark/>
                </w:tcPr>
                <w:p w14:paraId="3C2081CC"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517" w:type="dxa"/>
                  <w:tcBorders>
                    <w:top w:val="nil"/>
                    <w:left w:val="nil"/>
                    <w:bottom w:val="single" w:sz="4" w:space="0" w:color="000000"/>
                    <w:right w:val="single" w:sz="4" w:space="0" w:color="000000"/>
                  </w:tcBorders>
                  <w:noWrap/>
                  <w:vAlign w:val="center"/>
                  <w:hideMark/>
                </w:tcPr>
                <w:p w14:paraId="4620347E"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60 993,39</w:t>
                  </w:r>
                </w:p>
              </w:tc>
              <w:tc>
                <w:tcPr>
                  <w:tcW w:w="364" w:type="dxa"/>
                  <w:tcBorders>
                    <w:top w:val="nil"/>
                    <w:left w:val="nil"/>
                    <w:bottom w:val="single" w:sz="4" w:space="0" w:color="000000"/>
                    <w:right w:val="single" w:sz="4" w:space="0" w:color="000000"/>
                  </w:tcBorders>
                  <w:noWrap/>
                  <w:vAlign w:val="center"/>
                  <w:hideMark/>
                </w:tcPr>
                <w:p w14:paraId="5C8AA741"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39" w:type="dxa"/>
                  <w:tcBorders>
                    <w:top w:val="nil"/>
                    <w:left w:val="nil"/>
                    <w:bottom w:val="single" w:sz="4" w:space="0" w:color="000000"/>
                    <w:right w:val="single" w:sz="4" w:space="0" w:color="000000"/>
                  </w:tcBorders>
                  <w:noWrap/>
                  <w:vAlign w:val="center"/>
                  <w:hideMark/>
                </w:tcPr>
                <w:p w14:paraId="4E3F4E84"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601 626,08</w:t>
                  </w:r>
                </w:p>
              </w:tc>
              <w:tc>
                <w:tcPr>
                  <w:tcW w:w="845" w:type="dxa"/>
                  <w:tcBorders>
                    <w:top w:val="nil"/>
                    <w:left w:val="nil"/>
                    <w:bottom w:val="single" w:sz="4" w:space="0" w:color="000000"/>
                    <w:right w:val="single" w:sz="4" w:space="0" w:color="000000"/>
                  </w:tcBorders>
                  <w:noWrap/>
                  <w:vAlign w:val="center"/>
                  <w:hideMark/>
                </w:tcPr>
                <w:p w14:paraId="6DB3F8FD"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1 914 540,89</w:t>
                  </w:r>
                </w:p>
              </w:tc>
              <w:tc>
                <w:tcPr>
                  <w:tcW w:w="812" w:type="dxa"/>
                  <w:tcBorders>
                    <w:top w:val="nil"/>
                    <w:left w:val="nil"/>
                    <w:bottom w:val="single" w:sz="4" w:space="0" w:color="000000"/>
                    <w:right w:val="single" w:sz="4" w:space="0" w:color="000000"/>
                  </w:tcBorders>
                  <w:noWrap/>
                  <w:vAlign w:val="center"/>
                  <w:hideMark/>
                </w:tcPr>
                <w:p w14:paraId="2C63F65A"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1 853 547,50</w:t>
                  </w:r>
                </w:p>
              </w:tc>
            </w:tr>
            <w:tr w:rsidR="007F1824" w:rsidRPr="007F1824" w14:paraId="6A0803E8" w14:textId="77777777" w:rsidTr="007F1824">
              <w:trPr>
                <w:trHeight w:val="619"/>
              </w:trPr>
              <w:tc>
                <w:tcPr>
                  <w:tcW w:w="300" w:type="dxa"/>
                  <w:tcBorders>
                    <w:top w:val="nil"/>
                    <w:left w:val="single" w:sz="4" w:space="0" w:color="000000"/>
                    <w:bottom w:val="single" w:sz="4" w:space="0" w:color="000000"/>
                    <w:right w:val="single" w:sz="4" w:space="0" w:color="000000"/>
                  </w:tcBorders>
                  <w:noWrap/>
                  <w:vAlign w:val="center"/>
                  <w:hideMark/>
                </w:tcPr>
                <w:p w14:paraId="09636D8E"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3)</w:t>
                  </w:r>
                </w:p>
              </w:tc>
              <w:tc>
                <w:tcPr>
                  <w:tcW w:w="996" w:type="dxa"/>
                  <w:tcBorders>
                    <w:top w:val="nil"/>
                    <w:left w:val="nil"/>
                    <w:bottom w:val="single" w:sz="4" w:space="0" w:color="000000"/>
                    <w:right w:val="single" w:sz="4" w:space="0" w:color="000000"/>
                  </w:tcBorders>
                  <w:vAlign w:val="center"/>
                  <w:hideMark/>
                </w:tcPr>
                <w:p w14:paraId="466E921D" w14:textId="77777777" w:rsidR="007F1824" w:rsidRPr="007F1824" w:rsidRDefault="007F1824" w:rsidP="007F1824">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urządzenia techniczne i maszyny</w:t>
                  </w:r>
                </w:p>
              </w:tc>
              <w:tc>
                <w:tcPr>
                  <w:tcW w:w="813" w:type="dxa"/>
                  <w:tcBorders>
                    <w:top w:val="nil"/>
                    <w:left w:val="nil"/>
                    <w:bottom w:val="single" w:sz="4" w:space="0" w:color="000000"/>
                    <w:right w:val="single" w:sz="4" w:space="0" w:color="000000"/>
                  </w:tcBorders>
                  <w:noWrap/>
                  <w:vAlign w:val="center"/>
                  <w:hideMark/>
                </w:tcPr>
                <w:p w14:paraId="1AE83ED9"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30 803,32</w:t>
                  </w:r>
                </w:p>
              </w:tc>
              <w:tc>
                <w:tcPr>
                  <w:tcW w:w="364" w:type="dxa"/>
                  <w:tcBorders>
                    <w:top w:val="nil"/>
                    <w:left w:val="nil"/>
                    <w:bottom w:val="single" w:sz="4" w:space="0" w:color="000000"/>
                    <w:right w:val="single" w:sz="4" w:space="0" w:color="000000"/>
                  </w:tcBorders>
                  <w:noWrap/>
                  <w:vAlign w:val="center"/>
                  <w:hideMark/>
                </w:tcPr>
                <w:p w14:paraId="5ABFDC47"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665" w:type="dxa"/>
                  <w:tcBorders>
                    <w:top w:val="nil"/>
                    <w:left w:val="nil"/>
                    <w:bottom w:val="single" w:sz="4" w:space="0" w:color="000000"/>
                    <w:right w:val="single" w:sz="4" w:space="0" w:color="000000"/>
                  </w:tcBorders>
                  <w:noWrap/>
                  <w:vAlign w:val="center"/>
                  <w:hideMark/>
                </w:tcPr>
                <w:p w14:paraId="0D727AA5"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7BD7C02A"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36" w:type="dxa"/>
                  <w:tcBorders>
                    <w:top w:val="nil"/>
                    <w:left w:val="nil"/>
                    <w:bottom w:val="single" w:sz="4" w:space="0" w:color="000000"/>
                    <w:right w:val="single" w:sz="4" w:space="0" w:color="000000"/>
                  </w:tcBorders>
                  <w:noWrap/>
                  <w:vAlign w:val="center"/>
                  <w:hideMark/>
                </w:tcPr>
                <w:p w14:paraId="1EF3FC41"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410" w:type="dxa"/>
                  <w:tcBorders>
                    <w:top w:val="nil"/>
                    <w:left w:val="nil"/>
                    <w:bottom w:val="single" w:sz="4" w:space="0" w:color="000000"/>
                    <w:right w:val="single" w:sz="4" w:space="0" w:color="000000"/>
                  </w:tcBorders>
                  <w:noWrap/>
                  <w:vAlign w:val="center"/>
                  <w:hideMark/>
                </w:tcPr>
                <w:p w14:paraId="1120F9CC"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623" w:type="dxa"/>
                  <w:tcBorders>
                    <w:top w:val="nil"/>
                    <w:left w:val="nil"/>
                    <w:bottom w:val="single" w:sz="4" w:space="0" w:color="000000"/>
                    <w:right w:val="single" w:sz="4" w:space="0" w:color="000000"/>
                  </w:tcBorders>
                  <w:noWrap/>
                  <w:vAlign w:val="center"/>
                  <w:hideMark/>
                </w:tcPr>
                <w:p w14:paraId="391BB2B8"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76A40BBD"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71" w:type="dxa"/>
                  <w:tcBorders>
                    <w:top w:val="nil"/>
                    <w:left w:val="nil"/>
                    <w:bottom w:val="single" w:sz="4" w:space="0" w:color="000000"/>
                    <w:right w:val="single" w:sz="4" w:space="0" w:color="000000"/>
                  </w:tcBorders>
                  <w:noWrap/>
                  <w:vAlign w:val="center"/>
                  <w:hideMark/>
                </w:tcPr>
                <w:p w14:paraId="0E635C22"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812" w:type="dxa"/>
                  <w:tcBorders>
                    <w:top w:val="nil"/>
                    <w:left w:val="nil"/>
                    <w:bottom w:val="single" w:sz="4" w:space="0" w:color="000000"/>
                    <w:right w:val="single" w:sz="4" w:space="0" w:color="000000"/>
                  </w:tcBorders>
                  <w:noWrap/>
                  <w:vAlign w:val="center"/>
                  <w:hideMark/>
                </w:tcPr>
                <w:p w14:paraId="14D22B3E"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30 803,32</w:t>
                  </w:r>
                </w:p>
              </w:tc>
              <w:tc>
                <w:tcPr>
                  <w:tcW w:w="736" w:type="dxa"/>
                  <w:tcBorders>
                    <w:top w:val="nil"/>
                    <w:left w:val="nil"/>
                    <w:bottom w:val="single" w:sz="4" w:space="0" w:color="000000"/>
                    <w:right w:val="single" w:sz="4" w:space="0" w:color="000000"/>
                  </w:tcBorders>
                  <w:noWrap/>
                  <w:vAlign w:val="center"/>
                  <w:hideMark/>
                </w:tcPr>
                <w:p w14:paraId="5DD1A76A"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23 099,38</w:t>
                  </w:r>
                </w:p>
              </w:tc>
              <w:tc>
                <w:tcPr>
                  <w:tcW w:w="364" w:type="dxa"/>
                  <w:tcBorders>
                    <w:top w:val="nil"/>
                    <w:left w:val="nil"/>
                    <w:bottom w:val="single" w:sz="4" w:space="0" w:color="000000"/>
                    <w:right w:val="single" w:sz="4" w:space="0" w:color="000000"/>
                  </w:tcBorders>
                  <w:noWrap/>
                  <w:vAlign w:val="center"/>
                  <w:hideMark/>
                </w:tcPr>
                <w:p w14:paraId="4F1068B2"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73" w:type="dxa"/>
                  <w:tcBorders>
                    <w:top w:val="nil"/>
                    <w:left w:val="nil"/>
                    <w:bottom w:val="single" w:sz="4" w:space="0" w:color="000000"/>
                    <w:right w:val="single" w:sz="4" w:space="0" w:color="000000"/>
                  </w:tcBorders>
                  <w:noWrap/>
                  <w:vAlign w:val="center"/>
                  <w:hideMark/>
                </w:tcPr>
                <w:p w14:paraId="438D50AD"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3 219,55</w:t>
                  </w:r>
                </w:p>
              </w:tc>
              <w:tc>
                <w:tcPr>
                  <w:tcW w:w="709" w:type="dxa"/>
                  <w:tcBorders>
                    <w:top w:val="nil"/>
                    <w:left w:val="nil"/>
                    <w:bottom w:val="single" w:sz="4" w:space="0" w:color="000000"/>
                    <w:right w:val="single" w:sz="4" w:space="0" w:color="000000"/>
                  </w:tcBorders>
                  <w:noWrap/>
                  <w:vAlign w:val="center"/>
                  <w:hideMark/>
                </w:tcPr>
                <w:p w14:paraId="1F5CD8C9"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517" w:type="dxa"/>
                  <w:tcBorders>
                    <w:top w:val="nil"/>
                    <w:left w:val="nil"/>
                    <w:bottom w:val="single" w:sz="4" w:space="0" w:color="000000"/>
                    <w:right w:val="single" w:sz="4" w:space="0" w:color="000000"/>
                  </w:tcBorders>
                  <w:noWrap/>
                  <w:vAlign w:val="center"/>
                  <w:hideMark/>
                </w:tcPr>
                <w:p w14:paraId="47F56BFD"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3 219,55</w:t>
                  </w:r>
                </w:p>
              </w:tc>
              <w:tc>
                <w:tcPr>
                  <w:tcW w:w="364" w:type="dxa"/>
                  <w:tcBorders>
                    <w:top w:val="nil"/>
                    <w:left w:val="nil"/>
                    <w:bottom w:val="single" w:sz="4" w:space="0" w:color="000000"/>
                    <w:right w:val="single" w:sz="4" w:space="0" w:color="000000"/>
                  </w:tcBorders>
                  <w:noWrap/>
                  <w:vAlign w:val="center"/>
                  <w:hideMark/>
                </w:tcPr>
                <w:p w14:paraId="2D3CA200"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39" w:type="dxa"/>
                  <w:tcBorders>
                    <w:top w:val="nil"/>
                    <w:left w:val="nil"/>
                    <w:bottom w:val="single" w:sz="4" w:space="0" w:color="000000"/>
                    <w:right w:val="single" w:sz="4" w:space="0" w:color="000000"/>
                  </w:tcBorders>
                  <w:noWrap/>
                  <w:vAlign w:val="center"/>
                  <w:hideMark/>
                </w:tcPr>
                <w:p w14:paraId="0A1FB2B8"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26 318,93</w:t>
                  </w:r>
                </w:p>
              </w:tc>
              <w:tc>
                <w:tcPr>
                  <w:tcW w:w="845" w:type="dxa"/>
                  <w:tcBorders>
                    <w:top w:val="nil"/>
                    <w:left w:val="nil"/>
                    <w:bottom w:val="single" w:sz="4" w:space="0" w:color="000000"/>
                    <w:right w:val="single" w:sz="4" w:space="0" w:color="000000"/>
                  </w:tcBorders>
                  <w:noWrap/>
                  <w:vAlign w:val="center"/>
                  <w:hideMark/>
                </w:tcPr>
                <w:p w14:paraId="7D17F2B7"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7 703,94</w:t>
                  </w:r>
                </w:p>
              </w:tc>
              <w:tc>
                <w:tcPr>
                  <w:tcW w:w="812" w:type="dxa"/>
                  <w:tcBorders>
                    <w:top w:val="nil"/>
                    <w:left w:val="nil"/>
                    <w:bottom w:val="single" w:sz="4" w:space="0" w:color="000000"/>
                    <w:right w:val="single" w:sz="4" w:space="0" w:color="000000"/>
                  </w:tcBorders>
                  <w:noWrap/>
                  <w:vAlign w:val="center"/>
                  <w:hideMark/>
                </w:tcPr>
                <w:p w14:paraId="1AC74753"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4 484,39</w:t>
                  </w:r>
                </w:p>
              </w:tc>
            </w:tr>
            <w:tr w:rsidR="007F1824" w:rsidRPr="007F1824" w14:paraId="5E81639A" w14:textId="77777777" w:rsidTr="007F1824">
              <w:trPr>
                <w:trHeight w:val="255"/>
              </w:trPr>
              <w:tc>
                <w:tcPr>
                  <w:tcW w:w="300" w:type="dxa"/>
                  <w:tcBorders>
                    <w:top w:val="nil"/>
                    <w:left w:val="single" w:sz="4" w:space="0" w:color="000000"/>
                    <w:bottom w:val="single" w:sz="4" w:space="0" w:color="000000"/>
                    <w:right w:val="single" w:sz="4" w:space="0" w:color="000000"/>
                  </w:tcBorders>
                  <w:noWrap/>
                  <w:vAlign w:val="center"/>
                  <w:hideMark/>
                </w:tcPr>
                <w:p w14:paraId="508AC36E"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4)</w:t>
                  </w:r>
                </w:p>
              </w:tc>
              <w:tc>
                <w:tcPr>
                  <w:tcW w:w="996" w:type="dxa"/>
                  <w:tcBorders>
                    <w:top w:val="nil"/>
                    <w:left w:val="nil"/>
                    <w:bottom w:val="single" w:sz="4" w:space="0" w:color="000000"/>
                    <w:right w:val="single" w:sz="4" w:space="0" w:color="000000"/>
                  </w:tcBorders>
                  <w:vAlign w:val="center"/>
                  <w:hideMark/>
                </w:tcPr>
                <w:p w14:paraId="76783F3B" w14:textId="77777777" w:rsidR="007F1824" w:rsidRPr="007F1824" w:rsidRDefault="007F1824" w:rsidP="007F1824">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środki transportu</w:t>
                  </w:r>
                </w:p>
              </w:tc>
              <w:tc>
                <w:tcPr>
                  <w:tcW w:w="813" w:type="dxa"/>
                  <w:tcBorders>
                    <w:top w:val="nil"/>
                    <w:left w:val="nil"/>
                    <w:bottom w:val="single" w:sz="4" w:space="0" w:color="000000"/>
                    <w:right w:val="single" w:sz="4" w:space="0" w:color="000000"/>
                  </w:tcBorders>
                  <w:noWrap/>
                  <w:vAlign w:val="center"/>
                  <w:hideMark/>
                </w:tcPr>
                <w:p w14:paraId="7E1EA654"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78DFD3EE"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665" w:type="dxa"/>
                  <w:tcBorders>
                    <w:top w:val="nil"/>
                    <w:left w:val="nil"/>
                    <w:bottom w:val="single" w:sz="4" w:space="0" w:color="000000"/>
                    <w:right w:val="single" w:sz="4" w:space="0" w:color="000000"/>
                  </w:tcBorders>
                  <w:noWrap/>
                  <w:vAlign w:val="center"/>
                  <w:hideMark/>
                </w:tcPr>
                <w:p w14:paraId="3DD2558F"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492931C8"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36" w:type="dxa"/>
                  <w:tcBorders>
                    <w:top w:val="nil"/>
                    <w:left w:val="nil"/>
                    <w:bottom w:val="single" w:sz="4" w:space="0" w:color="000000"/>
                    <w:right w:val="single" w:sz="4" w:space="0" w:color="000000"/>
                  </w:tcBorders>
                  <w:noWrap/>
                  <w:vAlign w:val="center"/>
                  <w:hideMark/>
                </w:tcPr>
                <w:p w14:paraId="4C678F89"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410" w:type="dxa"/>
                  <w:tcBorders>
                    <w:top w:val="nil"/>
                    <w:left w:val="nil"/>
                    <w:bottom w:val="single" w:sz="4" w:space="0" w:color="000000"/>
                    <w:right w:val="single" w:sz="4" w:space="0" w:color="000000"/>
                  </w:tcBorders>
                  <w:noWrap/>
                  <w:vAlign w:val="center"/>
                  <w:hideMark/>
                </w:tcPr>
                <w:p w14:paraId="3BFA585B"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623" w:type="dxa"/>
                  <w:tcBorders>
                    <w:top w:val="nil"/>
                    <w:left w:val="nil"/>
                    <w:bottom w:val="single" w:sz="4" w:space="0" w:color="000000"/>
                    <w:right w:val="single" w:sz="4" w:space="0" w:color="000000"/>
                  </w:tcBorders>
                  <w:noWrap/>
                  <w:vAlign w:val="center"/>
                  <w:hideMark/>
                </w:tcPr>
                <w:p w14:paraId="0E1C6FE1"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73FCD5E3"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71" w:type="dxa"/>
                  <w:tcBorders>
                    <w:top w:val="nil"/>
                    <w:left w:val="nil"/>
                    <w:bottom w:val="single" w:sz="4" w:space="0" w:color="000000"/>
                    <w:right w:val="single" w:sz="4" w:space="0" w:color="000000"/>
                  </w:tcBorders>
                  <w:noWrap/>
                  <w:vAlign w:val="center"/>
                  <w:hideMark/>
                </w:tcPr>
                <w:p w14:paraId="45A66CC9"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812" w:type="dxa"/>
                  <w:tcBorders>
                    <w:top w:val="nil"/>
                    <w:left w:val="nil"/>
                    <w:bottom w:val="single" w:sz="4" w:space="0" w:color="000000"/>
                    <w:right w:val="single" w:sz="4" w:space="0" w:color="000000"/>
                  </w:tcBorders>
                  <w:noWrap/>
                  <w:vAlign w:val="center"/>
                  <w:hideMark/>
                </w:tcPr>
                <w:p w14:paraId="1CA836A9"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36" w:type="dxa"/>
                  <w:tcBorders>
                    <w:top w:val="nil"/>
                    <w:left w:val="nil"/>
                    <w:bottom w:val="single" w:sz="4" w:space="0" w:color="000000"/>
                    <w:right w:val="single" w:sz="4" w:space="0" w:color="000000"/>
                  </w:tcBorders>
                  <w:noWrap/>
                  <w:vAlign w:val="center"/>
                  <w:hideMark/>
                </w:tcPr>
                <w:p w14:paraId="7C45AA7D"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17AA66FD"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73" w:type="dxa"/>
                  <w:tcBorders>
                    <w:top w:val="nil"/>
                    <w:left w:val="nil"/>
                    <w:bottom w:val="single" w:sz="4" w:space="0" w:color="000000"/>
                    <w:right w:val="single" w:sz="4" w:space="0" w:color="000000"/>
                  </w:tcBorders>
                  <w:noWrap/>
                  <w:vAlign w:val="center"/>
                  <w:hideMark/>
                </w:tcPr>
                <w:p w14:paraId="7F3DA8D6"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7B830B08"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517" w:type="dxa"/>
                  <w:tcBorders>
                    <w:top w:val="nil"/>
                    <w:left w:val="nil"/>
                    <w:bottom w:val="single" w:sz="4" w:space="0" w:color="000000"/>
                    <w:right w:val="single" w:sz="4" w:space="0" w:color="000000"/>
                  </w:tcBorders>
                  <w:noWrap/>
                  <w:vAlign w:val="center"/>
                  <w:hideMark/>
                </w:tcPr>
                <w:p w14:paraId="6D4B2452"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76BD45B6"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39" w:type="dxa"/>
                  <w:tcBorders>
                    <w:top w:val="nil"/>
                    <w:left w:val="nil"/>
                    <w:bottom w:val="single" w:sz="4" w:space="0" w:color="000000"/>
                    <w:right w:val="single" w:sz="4" w:space="0" w:color="000000"/>
                  </w:tcBorders>
                  <w:noWrap/>
                  <w:vAlign w:val="center"/>
                  <w:hideMark/>
                </w:tcPr>
                <w:p w14:paraId="562854EC"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845" w:type="dxa"/>
                  <w:tcBorders>
                    <w:top w:val="nil"/>
                    <w:left w:val="nil"/>
                    <w:bottom w:val="single" w:sz="4" w:space="0" w:color="000000"/>
                    <w:right w:val="single" w:sz="4" w:space="0" w:color="000000"/>
                  </w:tcBorders>
                  <w:noWrap/>
                  <w:vAlign w:val="center"/>
                  <w:hideMark/>
                </w:tcPr>
                <w:p w14:paraId="644EBAAC"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812" w:type="dxa"/>
                  <w:tcBorders>
                    <w:top w:val="nil"/>
                    <w:left w:val="nil"/>
                    <w:bottom w:val="single" w:sz="4" w:space="0" w:color="000000"/>
                    <w:right w:val="single" w:sz="4" w:space="0" w:color="000000"/>
                  </w:tcBorders>
                  <w:noWrap/>
                  <w:vAlign w:val="center"/>
                  <w:hideMark/>
                </w:tcPr>
                <w:p w14:paraId="3B5C49A0"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r>
            <w:tr w:rsidR="007F1824" w:rsidRPr="007F1824" w14:paraId="74598C50" w14:textId="77777777" w:rsidTr="007F1824">
              <w:trPr>
                <w:trHeight w:val="255"/>
              </w:trPr>
              <w:tc>
                <w:tcPr>
                  <w:tcW w:w="300" w:type="dxa"/>
                  <w:tcBorders>
                    <w:top w:val="nil"/>
                    <w:left w:val="single" w:sz="4" w:space="0" w:color="000000"/>
                    <w:bottom w:val="single" w:sz="4" w:space="0" w:color="000000"/>
                    <w:right w:val="single" w:sz="4" w:space="0" w:color="000000"/>
                  </w:tcBorders>
                  <w:noWrap/>
                  <w:vAlign w:val="center"/>
                  <w:hideMark/>
                </w:tcPr>
                <w:p w14:paraId="24D6FB0A"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5)</w:t>
                  </w:r>
                </w:p>
              </w:tc>
              <w:tc>
                <w:tcPr>
                  <w:tcW w:w="996" w:type="dxa"/>
                  <w:tcBorders>
                    <w:top w:val="nil"/>
                    <w:left w:val="nil"/>
                    <w:bottom w:val="single" w:sz="4" w:space="0" w:color="000000"/>
                    <w:right w:val="single" w:sz="4" w:space="0" w:color="000000"/>
                  </w:tcBorders>
                  <w:vAlign w:val="center"/>
                  <w:hideMark/>
                </w:tcPr>
                <w:p w14:paraId="66697E48" w14:textId="77777777" w:rsidR="007F1824" w:rsidRPr="007F1824" w:rsidRDefault="007F1824" w:rsidP="007F1824">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inne środki trwałe</w:t>
                  </w:r>
                </w:p>
              </w:tc>
              <w:tc>
                <w:tcPr>
                  <w:tcW w:w="813" w:type="dxa"/>
                  <w:tcBorders>
                    <w:top w:val="nil"/>
                    <w:left w:val="nil"/>
                    <w:bottom w:val="single" w:sz="4" w:space="0" w:color="000000"/>
                    <w:right w:val="single" w:sz="4" w:space="0" w:color="000000"/>
                  </w:tcBorders>
                  <w:noWrap/>
                  <w:vAlign w:val="center"/>
                  <w:hideMark/>
                </w:tcPr>
                <w:p w14:paraId="781E6D37"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48 981,20</w:t>
                  </w:r>
                </w:p>
              </w:tc>
              <w:tc>
                <w:tcPr>
                  <w:tcW w:w="364" w:type="dxa"/>
                  <w:tcBorders>
                    <w:top w:val="nil"/>
                    <w:left w:val="nil"/>
                    <w:bottom w:val="single" w:sz="4" w:space="0" w:color="000000"/>
                    <w:right w:val="single" w:sz="4" w:space="0" w:color="000000"/>
                  </w:tcBorders>
                  <w:noWrap/>
                  <w:vAlign w:val="center"/>
                  <w:hideMark/>
                </w:tcPr>
                <w:p w14:paraId="4250C7BF"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665" w:type="dxa"/>
                  <w:tcBorders>
                    <w:top w:val="nil"/>
                    <w:left w:val="nil"/>
                    <w:bottom w:val="single" w:sz="4" w:space="0" w:color="000000"/>
                    <w:right w:val="single" w:sz="4" w:space="0" w:color="000000"/>
                  </w:tcBorders>
                  <w:noWrap/>
                  <w:vAlign w:val="center"/>
                  <w:hideMark/>
                </w:tcPr>
                <w:p w14:paraId="300BD277"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5095DE2B"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36" w:type="dxa"/>
                  <w:tcBorders>
                    <w:top w:val="nil"/>
                    <w:left w:val="nil"/>
                    <w:bottom w:val="single" w:sz="4" w:space="0" w:color="000000"/>
                    <w:right w:val="single" w:sz="4" w:space="0" w:color="000000"/>
                  </w:tcBorders>
                  <w:noWrap/>
                  <w:vAlign w:val="center"/>
                  <w:hideMark/>
                </w:tcPr>
                <w:p w14:paraId="207907A4"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410" w:type="dxa"/>
                  <w:tcBorders>
                    <w:top w:val="nil"/>
                    <w:left w:val="nil"/>
                    <w:bottom w:val="single" w:sz="4" w:space="0" w:color="000000"/>
                    <w:right w:val="single" w:sz="4" w:space="0" w:color="000000"/>
                  </w:tcBorders>
                  <w:noWrap/>
                  <w:vAlign w:val="center"/>
                  <w:hideMark/>
                </w:tcPr>
                <w:p w14:paraId="5E26E742"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623" w:type="dxa"/>
                  <w:tcBorders>
                    <w:top w:val="nil"/>
                    <w:left w:val="nil"/>
                    <w:bottom w:val="single" w:sz="4" w:space="0" w:color="000000"/>
                    <w:right w:val="single" w:sz="4" w:space="0" w:color="000000"/>
                  </w:tcBorders>
                  <w:noWrap/>
                  <w:vAlign w:val="center"/>
                  <w:hideMark/>
                </w:tcPr>
                <w:p w14:paraId="1582B029"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51ACDEEC"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71" w:type="dxa"/>
                  <w:tcBorders>
                    <w:top w:val="nil"/>
                    <w:left w:val="nil"/>
                    <w:bottom w:val="single" w:sz="4" w:space="0" w:color="000000"/>
                    <w:right w:val="single" w:sz="4" w:space="0" w:color="000000"/>
                  </w:tcBorders>
                  <w:noWrap/>
                  <w:vAlign w:val="center"/>
                  <w:hideMark/>
                </w:tcPr>
                <w:p w14:paraId="6FF0EF41"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812" w:type="dxa"/>
                  <w:tcBorders>
                    <w:top w:val="nil"/>
                    <w:left w:val="nil"/>
                    <w:bottom w:val="single" w:sz="4" w:space="0" w:color="000000"/>
                    <w:right w:val="single" w:sz="4" w:space="0" w:color="000000"/>
                  </w:tcBorders>
                  <w:noWrap/>
                  <w:vAlign w:val="center"/>
                  <w:hideMark/>
                </w:tcPr>
                <w:p w14:paraId="0917838F"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48 981,20</w:t>
                  </w:r>
                </w:p>
              </w:tc>
              <w:tc>
                <w:tcPr>
                  <w:tcW w:w="736" w:type="dxa"/>
                  <w:tcBorders>
                    <w:top w:val="nil"/>
                    <w:left w:val="nil"/>
                    <w:bottom w:val="single" w:sz="4" w:space="0" w:color="000000"/>
                    <w:right w:val="single" w:sz="4" w:space="0" w:color="000000"/>
                  </w:tcBorders>
                  <w:noWrap/>
                  <w:vAlign w:val="center"/>
                  <w:hideMark/>
                </w:tcPr>
                <w:p w14:paraId="661EAAA3"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23 478,31</w:t>
                  </w:r>
                </w:p>
              </w:tc>
              <w:tc>
                <w:tcPr>
                  <w:tcW w:w="364" w:type="dxa"/>
                  <w:tcBorders>
                    <w:top w:val="nil"/>
                    <w:left w:val="nil"/>
                    <w:bottom w:val="single" w:sz="4" w:space="0" w:color="000000"/>
                    <w:right w:val="single" w:sz="4" w:space="0" w:color="000000"/>
                  </w:tcBorders>
                  <w:noWrap/>
                  <w:vAlign w:val="center"/>
                  <w:hideMark/>
                </w:tcPr>
                <w:p w14:paraId="41851711"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73" w:type="dxa"/>
                  <w:tcBorders>
                    <w:top w:val="nil"/>
                    <w:left w:val="nil"/>
                    <w:bottom w:val="single" w:sz="4" w:space="0" w:color="000000"/>
                    <w:right w:val="single" w:sz="4" w:space="0" w:color="000000"/>
                  </w:tcBorders>
                  <w:noWrap/>
                  <w:vAlign w:val="center"/>
                  <w:hideMark/>
                </w:tcPr>
                <w:p w14:paraId="29D2B793"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4 041,97</w:t>
                  </w:r>
                </w:p>
              </w:tc>
              <w:tc>
                <w:tcPr>
                  <w:tcW w:w="709" w:type="dxa"/>
                  <w:tcBorders>
                    <w:top w:val="nil"/>
                    <w:left w:val="nil"/>
                    <w:bottom w:val="single" w:sz="4" w:space="0" w:color="000000"/>
                    <w:right w:val="single" w:sz="4" w:space="0" w:color="000000"/>
                  </w:tcBorders>
                  <w:noWrap/>
                  <w:vAlign w:val="center"/>
                  <w:hideMark/>
                </w:tcPr>
                <w:p w14:paraId="13D9586C"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517" w:type="dxa"/>
                  <w:tcBorders>
                    <w:top w:val="nil"/>
                    <w:left w:val="nil"/>
                    <w:bottom w:val="single" w:sz="4" w:space="0" w:color="000000"/>
                    <w:right w:val="single" w:sz="4" w:space="0" w:color="000000"/>
                  </w:tcBorders>
                  <w:noWrap/>
                  <w:vAlign w:val="center"/>
                  <w:hideMark/>
                </w:tcPr>
                <w:p w14:paraId="1421EECB"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4 041,97</w:t>
                  </w:r>
                </w:p>
              </w:tc>
              <w:tc>
                <w:tcPr>
                  <w:tcW w:w="364" w:type="dxa"/>
                  <w:tcBorders>
                    <w:top w:val="nil"/>
                    <w:left w:val="nil"/>
                    <w:bottom w:val="single" w:sz="4" w:space="0" w:color="000000"/>
                    <w:right w:val="single" w:sz="4" w:space="0" w:color="000000"/>
                  </w:tcBorders>
                  <w:noWrap/>
                  <w:vAlign w:val="center"/>
                  <w:hideMark/>
                </w:tcPr>
                <w:p w14:paraId="74D2A720"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0,00</w:t>
                  </w:r>
                </w:p>
              </w:tc>
              <w:tc>
                <w:tcPr>
                  <w:tcW w:w="739" w:type="dxa"/>
                  <w:tcBorders>
                    <w:top w:val="nil"/>
                    <w:left w:val="nil"/>
                    <w:bottom w:val="single" w:sz="4" w:space="0" w:color="000000"/>
                    <w:right w:val="single" w:sz="4" w:space="0" w:color="000000"/>
                  </w:tcBorders>
                  <w:noWrap/>
                  <w:vAlign w:val="center"/>
                  <w:hideMark/>
                </w:tcPr>
                <w:p w14:paraId="50627E78"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27 520,28</w:t>
                  </w:r>
                </w:p>
              </w:tc>
              <w:tc>
                <w:tcPr>
                  <w:tcW w:w="845" w:type="dxa"/>
                  <w:tcBorders>
                    <w:top w:val="nil"/>
                    <w:left w:val="nil"/>
                    <w:bottom w:val="single" w:sz="4" w:space="0" w:color="000000"/>
                    <w:right w:val="single" w:sz="4" w:space="0" w:color="000000"/>
                  </w:tcBorders>
                  <w:noWrap/>
                  <w:vAlign w:val="center"/>
                  <w:hideMark/>
                </w:tcPr>
                <w:p w14:paraId="6D9AA792"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25 502,89</w:t>
                  </w:r>
                </w:p>
              </w:tc>
              <w:tc>
                <w:tcPr>
                  <w:tcW w:w="812" w:type="dxa"/>
                  <w:tcBorders>
                    <w:top w:val="nil"/>
                    <w:left w:val="nil"/>
                    <w:bottom w:val="single" w:sz="4" w:space="0" w:color="000000"/>
                    <w:right w:val="single" w:sz="4" w:space="0" w:color="000000"/>
                  </w:tcBorders>
                  <w:noWrap/>
                  <w:vAlign w:val="center"/>
                  <w:hideMark/>
                </w:tcPr>
                <w:p w14:paraId="611B6E0B"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21 460,92</w:t>
                  </w:r>
                </w:p>
              </w:tc>
            </w:tr>
            <w:tr w:rsidR="007F1824" w:rsidRPr="007F1824" w14:paraId="053BF3A5" w14:textId="77777777" w:rsidTr="007F1824">
              <w:trPr>
                <w:trHeight w:val="255"/>
              </w:trPr>
              <w:tc>
                <w:tcPr>
                  <w:tcW w:w="300" w:type="dxa"/>
                  <w:tcBorders>
                    <w:top w:val="nil"/>
                    <w:left w:val="single" w:sz="4" w:space="0" w:color="000000"/>
                    <w:bottom w:val="single" w:sz="4" w:space="0" w:color="000000"/>
                    <w:right w:val="single" w:sz="4" w:space="0" w:color="000000"/>
                  </w:tcBorders>
                  <w:noWrap/>
                  <w:vAlign w:val="center"/>
                  <w:hideMark/>
                </w:tcPr>
                <w:p w14:paraId="2A68BD9E"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i/>
                      <w:iCs/>
                      <w:color w:val="000000"/>
                      <w:kern w:val="0"/>
                      <w:sz w:val="14"/>
                      <w:szCs w:val="14"/>
                      <w:lang w:eastAsia="pl-PL" w:bidi="ar-SA"/>
                    </w:rPr>
                  </w:pPr>
                  <w:r w:rsidRPr="007F1824">
                    <w:rPr>
                      <w:rFonts w:ascii="Arial Narrow" w:eastAsia="Times New Roman" w:hAnsi="Arial Narrow" w:cs="Times New Roman"/>
                      <w:b/>
                      <w:bCs/>
                      <w:i/>
                      <w:iCs/>
                      <w:color w:val="000000"/>
                      <w:kern w:val="0"/>
                      <w:sz w:val="14"/>
                      <w:szCs w:val="14"/>
                      <w:lang w:eastAsia="pl-PL" w:bidi="ar-SA"/>
                    </w:rPr>
                    <w:t> </w:t>
                  </w:r>
                </w:p>
              </w:tc>
              <w:tc>
                <w:tcPr>
                  <w:tcW w:w="996" w:type="dxa"/>
                  <w:tcBorders>
                    <w:top w:val="nil"/>
                    <w:left w:val="nil"/>
                    <w:bottom w:val="single" w:sz="4" w:space="0" w:color="000000"/>
                    <w:right w:val="single" w:sz="4" w:space="0" w:color="000000"/>
                  </w:tcBorders>
                  <w:noWrap/>
                  <w:vAlign w:val="bottom"/>
                  <w:hideMark/>
                </w:tcPr>
                <w:p w14:paraId="0F3F2740" w14:textId="77777777" w:rsidR="007F1824" w:rsidRPr="007F1824" w:rsidRDefault="007F1824" w:rsidP="007F1824">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7F1824">
                    <w:rPr>
                      <w:rFonts w:ascii="Arial Narrow" w:eastAsia="Times New Roman" w:hAnsi="Arial Narrow" w:cs="Times New Roman"/>
                      <w:color w:val="000000"/>
                      <w:kern w:val="0"/>
                      <w:sz w:val="14"/>
                      <w:szCs w:val="14"/>
                      <w:lang w:eastAsia="pl-PL" w:bidi="ar-SA"/>
                    </w:rPr>
                    <w:t> </w:t>
                  </w:r>
                </w:p>
              </w:tc>
              <w:tc>
                <w:tcPr>
                  <w:tcW w:w="813" w:type="dxa"/>
                  <w:tcBorders>
                    <w:top w:val="nil"/>
                    <w:left w:val="nil"/>
                    <w:bottom w:val="single" w:sz="4" w:space="0" w:color="000000"/>
                    <w:right w:val="single" w:sz="4" w:space="0" w:color="000000"/>
                  </w:tcBorders>
                  <w:noWrap/>
                  <w:vAlign w:val="center"/>
                  <w:hideMark/>
                </w:tcPr>
                <w:p w14:paraId="04D1755B"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2 947 652,00</w:t>
                  </w:r>
                </w:p>
              </w:tc>
              <w:tc>
                <w:tcPr>
                  <w:tcW w:w="364" w:type="dxa"/>
                  <w:tcBorders>
                    <w:top w:val="nil"/>
                    <w:left w:val="nil"/>
                    <w:bottom w:val="single" w:sz="4" w:space="0" w:color="000000"/>
                    <w:right w:val="single" w:sz="4" w:space="0" w:color="000000"/>
                  </w:tcBorders>
                  <w:noWrap/>
                  <w:vAlign w:val="center"/>
                  <w:hideMark/>
                </w:tcPr>
                <w:p w14:paraId="728FD2E3"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665" w:type="dxa"/>
                  <w:tcBorders>
                    <w:top w:val="nil"/>
                    <w:left w:val="nil"/>
                    <w:bottom w:val="single" w:sz="4" w:space="0" w:color="000000"/>
                    <w:right w:val="single" w:sz="4" w:space="0" w:color="000000"/>
                  </w:tcBorders>
                  <w:noWrap/>
                  <w:vAlign w:val="center"/>
                  <w:hideMark/>
                </w:tcPr>
                <w:p w14:paraId="129A3C76"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5 500,00</w:t>
                  </w:r>
                </w:p>
              </w:tc>
              <w:tc>
                <w:tcPr>
                  <w:tcW w:w="364" w:type="dxa"/>
                  <w:tcBorders>
                    <w:top w:val="nil"/>
                    <w:left w:val="nil"/>
                    <w:bottom w:val="single" w:sz="4" w:space="0" w:color="000000"/>
                    <w:right w:val="single" w:sz="4" w:space="0" w:color="000000"/>
                  </w:tcBorders>
                  <w:noWrap/>
                  <w:vAlign w:val="center"/>
                  <w:hideMark/>
                </w:tcPr>
                <w:p w14:paraId="420E4738"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736" w:type="dxa"/>
                  <w:tcBorders>
                    <w:top w:val="nil"/>
                    <w:left w:val="nil"/>
                    <w:bottom w:val="single" w:sz="4" w:space="0" w:color="000000"/>
                    <w:right w:val="single" w:sz="4" w:space="0" w:color="000000"/>
                  </w:tcBorders>
                  <w:noWrap/>
                  <w:vAlign w:val="center"/>
                  <w:hideMark/>
                </w:tcPr>
                <w:p w14:paraId="38CF0CB5"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5 500,00</w:t>
                  </w:r>
                </w:p>
              </w:tc>
              <w:tc>
                <w:tcPr>
                  <w:tcW w:w="410" w:type="dxa"/>
                  <w:tcBorders>
                    <w:top w:val="nil"/>
                    <w:left w:val="nil"/>
                    <w:bottom w:val="single" w:sz="4" w:space="0" w:color="000000"/>
                    <w:right w:val="single" w:sz="4" w:space="0" w:color="000000"/>
                  </w:tcBorders>
                  <w:noWrap/>
                  <w:vAlign w:val="center"/>
                  <w:hideMark/>
                </w:tcPr>
                <w:p w14:paraId="7A273BAA"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623" w:type="dxa"/>
                  <w:tcBorders>
                    <w:top w:val="nil"/>
                    <w:left w:val="nil"/>
                    <w:bottom w:val="single" w:sz="4" w:space="0" w:color="000000"/>
                    <w:right w:val="single" w:sz="4" w:space="0" w:color="000000"/>
                  </w:tcBorders>
                  <w:noWrap/>
                  <w:vAlign w:val="center"/>
                  <w:hideMark/>
                </w:tcPr>
                <w:p w14:paraId="4E28E6A3"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1224DB0D"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771" w:type="dxa"/>
                  <w:tcBorders>
                    <w:top w:val="nil"/>
                    <w:left w:val="nil"/>
                    <w:bottom w:val="single" w:sz="4" w:space="0" w:color="000000"/>
                    <w:right w:val="single" w:sz="4" w:space="0" w:color="000000"/>
                  </w:tcBorders>
                  <w:noWrap/>
                  <w:vAlign w:val="center"/>
                  <w:hideMark/>
                </w:tcPr>
                <w:p w14:paraId="2AF4416A"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812" w:type="dxa"/>
                  <w:tcBorders>
                    <w:top w:val="nil"/>
                    <w:left w:val="nil"/>
                    <w:bottom w:val="single" w:sz="4" w:space="0" w:color="000000"/>
                    <w:right w:val="single" w:sz="4" w:space="0" w:color="000000"/>
                  </w:tcBorders>
                  <w:noWrap/>
                  <w:vAlign w:val="center"/>
                  <w:hideMark/>
                </w:tcPr>
                <w:p w14:paraId="777E421E"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2 953 152,00</w:t>
                  </w:r>
                </w:p>
              </w:tc>
              <w:tc>
                <w:tcPr>
                  <w:tcW w:w="736" w:type="dxa"/>
                  <w:tcBorders>
                    <w:top w:val="nil"/>
                    <w:left w:val="nil"/>
                    <w:bottom w:val="single" w:sz="4" w:space="0" w:color="000000"/>
                    <w:right w:val="single" w:sz="4" w:space="0" w:color="000000"/>
                  </w:tcBorders>
                  <w:noWrap/>
                  <w:vAlign w:val="center"/>
                  <w:hideMark/>
                </w:tcPr>
                <w:p w14:paraId="41BB6518"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591 244,28</w:t>
                  </w:r>
                </w:p>
              </w:tc>
              <w:tc>
                <w:tcPr>
                  <w:tcW w:w="364" w:type="dxa"/>
                  <w:tcBorders>
                    <w:top w:val="nil"/>
                    <w:left w:val="nil"/>
                    <w:bottom w:val="single" w:sz="4" w:space="0" w:color="000000"/>
                    <w:right w:val="single" w:sz="4" w:space="0" w:color="000000"/>
                  </w:tcBorders>
                  <w:noWrap/>
                  <w:vAlign w:val="center"/>
                  <w:hideMark/>
                </w:tcPr>
                <w:p w14:paraId="4D222EA6"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773" w:type="dxa"/>
                  <w:tcBorders>
                    <w:top w:val="nil"/>
                    <w:left w:val="nil"/>
                    <w:bottom w:val="single" w:sz="4" w:space="0" w:color="000000"/>
                    <w:right w:val="single" w:sz="4" w:space="0" w:color="000000"/>
                  </w:tcBorders>
                  <w:noWrap/>
                  <w:vAlign w:val="center"/>
                  <w:hideMark/>
                </w:tcPr>
                <w:p w14:paraId="3364637B"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68 254,91</w:t>
                  </w:r>
                </w:p>
              </w:tc>
              <w:tc>
                <w:tcPr>
                  <w:tcW w:w="709" w:type="dxa"/>
                  <w:tcBorders>
                    <w:top w:val="nil"/>
                    <w:left w:val="nil"/>
                    <w:bottom w:val="single" w:sz="4" w:space="0" w:color="000000"/>
                    <w:right w:val="single" w:sz="4" w:space="0" w:color="000000"/>
                  </w:tcBorders>
                  <w:noWrap/>
                  <w:vAlign w:val="center"/>
                  <w:hideMark/>
                </w:tcPr>
                <w:p w14:paraId="2D4942F9"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5 500,00</w:t>
                  </w:r>
                </w:p>
              </w:tc>
              <w:tc>
                <w:tcPr>
                  <w:tcW w:w="517" w:type="dxa"/>
                  <w:tcBorders>
                    <w:top w:val="nil"/>
                    <w:left w:val="nil"/>
                    <w:bottom w:val="single" w:sz="4" w:space="0" w:color="000000"/>
                    <w:right w:val="single" w:sz="4" w:space="0" w:color="000000"/>
                  </w:tcBorders>
                  <w:noWrap/>
                  <w:vAlign w:val="center"/>
                  <w:hideMark/>
                </w:tcPr>
                <w:p w14:paraId="6E9B0366"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73 754,91</w:t>
                  </w:r>
                </w:p>
              </w:tc>
              <w:tc>
                <w:tcPr>
                  <w:tcW w:w="364" w:type="dxa"/>
                  <w:tcBorders>
                    <w:top w:val="nil"/>
                    <w:left w:val="nil"/>
                    <w:bottom w:val="single" w:sz="4" w:space="0" w:color="000000"/>
                    <w:right w:val="single" w:sz="4" w:space="0" w:color="000000"/>
                  </w:tcBorders>
                  <w:noWrap/>
                  <w:vAlign w:val="center"/>
                  <w:hideMark/>
                </w:tcPr>
                <w:p w14:paraId="4BDE620E"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0,00</w:t>
                  </w:r>
                </w:p>
              </w:tc>
              <w:tc>
                <w:tcPr>
                  <w:tcW w:w="739" w:type="dxa"/>
                  <w:tcBorders>
                    <w:top w:val="nil"/>
                    <w:left w:val="nil"/>
                    <w:bottom w:val="single" w:sz="4" w:space="0" w:color="000000"/>
                    <w:right w:val="single" w:sz="4" w:space="0" w:color="000000"/>
                  </w:tcBorders>
                  <w:noWrap/>
                  <w:vAlign w:val="center"/>
                  <w:hideMark/>
                </w:tcPr>
                <w:p w14:paraId="2D64929F"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664 999,19</w:t>
                  </w:r>
                </w:p>
              </w:tc>
              <w:tc>
                <w:tcPr>
                  <w:tcW w:w="845" w:type="dxa"/>
                  <w:tcBorders>
                    <w:top w:val="nil"/>
                    <w:left w:val="nil"/>
                    <w:bottom w:val="single" w:sz="4" w:space="0" w:color="000000"/>
                    <w:right w:val="single" w:sz="4" w:space="0" w:color="000000"/>
                  </w:tcBorders>
                  <w:noWrap/>
                  <w:vAlign w:val="center"/>
                  <w:hideMark/>
                </w:tcPr>
                <w:p w14:paraId="0659A7F2"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2 356 407,72</w:t>
                  </w:r>
                </w:p>
              </w:tc>
              <w:tc>
                <w:tcPr>
                  <w:tcW w:w="812" w:type="dxa"/>
                  <w:tcBorders>
                    <w:top w:val="nil"/>
                    <w:left w:val="nil"/>
                    <w:bottom w:val="single" w:sz="4" w:space="0" w:color="000000"/>
                    <w:right w:val="single" w:sz="4" w:space="0" w:color="000000"/>
                  </w:tcBorders>
                  <w:noWrap/>
                  <w:vAlign w:val="center"/>
                  <w:hideMark/>
                </w:tcPr>
                <w:p w14:paraId="388C9BA6" w14:textId="77777777" w:rsidR="007F1824" w:rsidRPr="007F1824" w:rsidRDefault="007F1824" w:rsidP="007F1824">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7F1824">
                    <w:rPr>
                      <w:rFonts w:ascii="Arial Narrow" w:eastAsia="Times New Roman" w:hAnsi="Arial Narrow" w:cs="Times New Roman"/>
                      <w:b/>
                      <w:bCs/>
                      <w:color w:val="000000"/>
                      <w:kern w:val="0"/>
                      <w:sz w:val="14"/>
                      <w:szCs w:val="14"/>
                      <w:lang w:eastAsia="pl-PL" w:bidi="ar-SA"/>
                    </w:rPr>
                    <w:t>2 288 152,81</w:t>
                  </w:r>
                </w:p>
              </w:tc>
            </w:tr>
          </w:tbl>
          <w:p w14:paraId="08ED20A0" w14:textId="77777777" w:rsidR="005736B4" w:rsidRPr="0083553C" w:rsidRDefault="005736B4">
            <w:pPr>
              <w:pStyle w:val="Standard"/>
              <w:snapToGrid w:val="0"/>
              <w:rPr>
                <w:sz w:val="18"/>
                <w:szCs w:val="18"/>
              </w:rPr>
            </w:pPr>
          </w:p>
        </w:tc>
      </w:tr>
      <w:tr w:rsidR="005736B4" w14:paraId="60CDD60A"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59A59921" w14:textId="77777777" w:rsidR="005736B4" w:rsidRDefault="005F09CA">
            <w:pPr>
              <w:pStyle w:val="Standard"/>
              <w:spacing w:after="0" w:line="100" w:lineRule="atLeast"/>
              <w:rPr>
                <w:rFonts w:cs="Calibri"/>
                <w:sz w:val="20"/>
                <w:szCs w:val="20"/>
              </w:rPr>
            </w:pPr>
            <w:r>
              <w:rPr>
                <w:rFonts w:cs="Calibri"/>
                <w:sz w:val="20"/>
                <w:szCs w:val="20"/>
              </w:rPr>
              <w:t>1.2</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06134" w14:textId="77777777" w:rsidR="005736B4" w:rsidRDefault="005F09CA">
            <w:pPr>
              <w:pStyle w:val="Standard"/>
              <w:widowControl w:val="0"/>
              <w:spacing w:before="47" w:after="0" w:line="100" w:lineRule="atLeast"/>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5736B4" w14:paraId="612CDC9F"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539928C8"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50C1" w14:textId="77777777" w:rsidR="005736B4" w:rsidRDefault="005F09CA">
            <w:pPr>
              <w:pStyle w:val="Standard"/>
              <w:spacing w:after="0" w:line="100" w:lineRule="atLeast"/>
              <w:rPr>
                <w:b/>
                <w:sz w:val="24"/>
                <w:szCs w:val="24"/>
              </w:rPr>
            </w:pPr>
            <w:r>
              <w:rPr>
                <w:b/>
                <w:sz w:val="24"/>
                <w:szCs w:val="24"/>
              </w:rPr>
              <w:t>Brak danych</w:t>
            </w:r>
          </w:p>
        </w:tc>
      </w:tr>
      <w:tr w:rsidR="005736B4" w14:paraId="30D7EB6A"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111897CE" w14:textId="77777777" w:rsidR="005736B4" w:rsidRDefault="005F09CA">
            <w:pPr>
              <w:pStyle w:val="Standard"/>
              <w:spacing w:after="0" w:line="100" w:lineRule="atLeast"/>
              <w:rPr>
                <w:rFonts w:cs="Calibri"/>
                <w:sz w:val="20"/>
                <w:szCs w:val="20"/>
              </w:rPr>
            </w:pPr>
            <w:r>
              <w:rPr>
                <w:rFonts w:cs="Calibri"/>
                <w:sz w:val="20"/>
                <w:szCs w:val="20"/>
              </w:rPr>
              <w:t>1.3</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47DB8" w14:textId="6E12DA04" w:rsidR="005736B4" w:rsidRDefault="005F09CA" w:rsidP="00E903EB">
            <w:pPr>
              <w:pStyle w:val="Standard"/>
              <w:widowControl w:val="0"/>
              <w:spacing w:before="47" w:after="0" w:line="240" w:lineRule="auto"/>
              <w:ind w:right="40"/>
              <w:jc w:val="both"/>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w:t>
            </w:r>
            <w:r w:rsidR="00E903EB">
              <w:rPr>
                <w:color w:val="2E2014"/>
                <w:sz w:val="20"/>
                <w:szCs w:val="20"/>
              </w:rPr>
              <w:t> </w:t>
            </w:r>
            <w:r>
              <w:rPr>
                <w:color w:val="2E2014"/>
                <w:sz w:val="20"/>
                <w:szCs w:val="20"/>
              </w:rPr>
              <w:t>długoterminowych aktywów finansowych</w:t>
            </w:r>
          </w:p>
        </w:tc>
      </w:tr>
      <w:tr w:rsidR="005736B4" w14:paraId="674B64B5"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666F06D1"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55A70" w14:textId="77777777" w:rsidR="005736B4" w:rsidRDefault="005F09CA">
            <w:pPr>
              <w:pStyle w:val="Standard"/>
              <w:spacing w:after="0" w:line="100" w:lineRule="atLeast"/>
              <w:rPr>
                <w:b/>
                <w:sz w:val="24"/>
                <w:szCs w:val="24"/>
              </w:rPr>
            </w:pPr>
            <w:r>
              <w:rPr>
                <w:b/>
                <w:sz w:val="24"/>
                <w:szCs w:val="24"/>
              </w:rPr>
              <w:t>Brak danych</w:t>
            </w:r>
          </w:p>
        </w:tc>
      </w:tr>
      <w:tr w:rsidR="005736B4" w14:paraId="7C580608"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526374C8" w14:textId="77777777" w:rsidR="005736B4" w:rsidRDefault="005F09CA">
            <w:pPr>
              <w:pStyle w:val="Standard"/>
              <w:spacing w:after="0" w:line="100" w:lineRule="atLeast"/>
              <w:rPr>
                <w:rFonts w:cs="Calibri"/>
                <w:sz w:val="20"/>
                <w:szCs w:val="20"/>
              </w:rPr>
            </w:pPr>
            <w:r>
              <w:rPr>
                <w:rFonts w:cs="Calibri"/>
                <w:sz w:val="20"/>
                <w:szCs w:val="20"/>
              </w:rPr>
              <w:t>1.4</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3EE41" w14:textId="77777777" w:rsidR="005736B4" w:rsidRDefault="005F09CA">
            <w:pPr>
              <w:pStyle w:val="Standard"/>
              <w:spacing w:after="0" w:line="100" w:lineRule="atLeast"/>
              <w:rPr>
                <w:color w:val="2E2014"/>
                <w:sz w:val="20"/>
                <w:szCs w:val="20"/>
              </w:rPr>
            </w:pPr>
            <w:r>
              <w:rPr>
                <w:color w:val="2E2014"/>
                <w:sz w:val="20"/>
                <w:szCs w:val="20"/>
              </w:rPr>
              <w:t>wartość gruntów użytkowanych wieczyście</w:t>
            </w:r>
          </w:p>
        </w:tc>
      </w:tr>
      <w:tr w:rsidR="005736B4" w14:paraId="4E83FAA9"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57EC599D"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6CDDA" w14:textId="77777777" w:rsidR="005736B4" w:rsidRDefault="005F09CA">
            <w:pPr>
              <w:pStyle w:val="Standard"/>
              <w:spacing w:after="0" w:line="100" w:lineRule="atLeast"/>
              <w:rPr>
                <w:b/>
                <w:sz w:val="24"/>
                <w:szCs w:val="24"/>
              </w:rPr>
            </w:pPr>
            <w:r>
              <w:rPr>
                <w:b/>
                <w:sz w:val="24"/>
                <w:szCs w:val="24"/>
              </w:rPr>
              <w:t>Brak danych</w:t>
            </w:r>
          </w:p>
        </w:tc>
      </w:tr>
      <w:tr w:rsidR="005736B4" w14:paraId="363920A7"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383416C3" w14:textId="77777777" w:rsidR="005736B4" w:rsidRDefault="005F09CA">
            <w:pPr>
              <w:pStyle w:val="Standard"/>
              <w:spacing w:after="0" w:line="100" w:lineRule="atLeast"/>
              <w:rPr>
                <w:rFonts w:cs="Calibri"/>
                <w:sz w:val="20"/>
                <w:szCs w:val="20"/>
              </w:rPr>
            </w:pPr>
            <w:r>
              <w:rPr>
                <w:rFonts w:cs="Calibri"/>
                <w:sz w:val="20"/>
                <w:szCs w:val="20"/>
              </w:rPr>
              <w:t>1.5</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A09DC" w14:textId="77777777" w:rsidR="005736B4" w:rsidRDefault="005F09CA" w:rsidP="00E903EB">
            <w:pPr>
              <w:pStyle w:val="Standard"/>
              <w:spacing w:after="0" w:line="100" w:lineRule="atLeast"/>
              <w:jc w:val="both"/>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5736B4" w14:paraId="1925602D"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48A67771"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0FC8C" w14:textId="77777777" w:rsidR="005736B4" w:rsidRDefault="005F09CA">
            <w:pPr>
              <w:pStyle w:val="Standard"/>
              <w:spacing w:after="0" w:line="100" w:lineRule="atLeast"/>
              <w:rPr>
                <w:b/>
                <w:sz w:val="24"/>
                <w:szCs w:val="24"/>
              </w:rPr>
            </w:pPr>
            <w:r>
              <w:rPr>
                <w:b/>
                <w:sz w:val="24"/>
                <w:szCs w:val="24"/>
              </w:rPr>
              <w:t>Brak danych</w:t>
            </w:r>
          </w:p>
        </w:tc>
      </w:tr>
      <w:tr w:rsidR="005736B4" w14:paraId="07E6C5AE"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49E7659B"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1.6</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1BB2F" w14:textId="77777777" w:rsidR="005736B4" w:rsidRDefault="005F09CA">
            <w:pPr>
              <w:pStyle w:val="Standard"/>
              <w:widowControl w:val="0"/>
              <w:spacing w:before="47" w:after="0" w:line="24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5736B4" w14:paraId="0278A8A6"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3B3A6241"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81A60" w14:textId="77777777" w:rsidR="005736B4" w:rsidRDefault="005F09CA">
            <w:pPr>
              <w:pStyle w:val="Standard"/>
              <w:spacing w:after="0" w:line="100" w:lineRule="atLeast"/>
              <w:rPr>
                <w:b/>
                <w:sz w:val="24"/>
                <w:szCs w:val="24"/>
              </w:rPr>
            </w:pPr>
            <w:r>
              <w:rPr>
                <w:b/>
                <w:sz w:val="24"/>
                <w:szCs w:val="24"/>
              </w:rPr>
              <w:t>Brak danych</w:t>
            </w:r>
          </w:p>
        </w:tc>
      </w:tr>
      <w:tr w:rsidR="005736B4" w14:paraId="34B753C1"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69EA9EA0"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1.7</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4546A" w14:textId="77777777" w:rsidR="005736B4" w:rsidRDefault="005F09CA" w:rsidP="00E903EB">
            <w:pPr>
              <w:pStyle w:val="Standard"/>
              <w:widowControl w:val="0"/>
              <w:spacing w:before="46" w:after="0" w:line="24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 xml:space="preserve">obrotowego, zwiększeniach, wykorzystaniu, rozwiązaniu i stanie na koniec roku </w:t>
            </w:r>
            <w:r>
              <w:rPr>
                <w:color w:val="2E2014"/>
                <w:sz w:val="20"/>
                <w:szCs w:val="20"/>
              </w:rPr>
              <w:lastRenderedPageBreak/>
              <w:t>obrotowego, z uwzględnieniem należności finansowych jednostek samorządu terytorialnego (stan pożyczek zagrożonych)</w:t>
            </w:r>
          </w:p>
        </w:tc>
      </w:tr>
      <w:tr w:rsidR="005736B4" w14:paraId="139729DC"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7814E681"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BE96F" w14:textId="77777777" w:rsidR="005736B4" w:rsidRDefault="005F09CA">
            <w:pPr>
              <w:pStyle w:val="Standard"/>
              <w:spacing w:after="0" w:line="100" w:lineRule="atLeast"/>
              <w:rPr>
                <w:b/>
                <w:sz w:val="24"/>
                <w:szCs w:val="24"/>
              </w:rPr>
            </w:pPr>
            <w:r>
              <w:rPr>
                <w:b/>
                <w:sz w:val="24"/>
                <w:szCs w:val="24"/>
              </w:rPr>
              <w:t>Brak danych</w:t>
            </w:r>
          </w:p>
        </w:tc>
      </w:tr>
      <w:tr w:rsidR="005736B4" w14:paraId="163C08F2"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292D8AEE"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1.8</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7942B" w14:textId="77777777" w:rsidR="005736B4" w:rsidRDefault="005F09CA">
            <w:pPr>
              <w:pStyle w:val="Standard"/>
              <w:widowControl w:val="0"/>
              <w:spacing w:before="46" w:after="0" w:line="24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5736B4" w14:paraId="58C07743"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182FDECB"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2D208" w14:textId="77777777" w:rsidR="005736B4" w:rsidRDefault="005F09CA">
            <w:pPr>
              <w:pStyle w:val="Standard"/>
              <w:spacing w:after="0" w:line="100" w:lineRule="atLeast"/>
              <w:rPr>
                <w:b/>
                <w:sz w:val="24"/>
                <w:szCs w:val="24"/>
              </w:rPr>
            </w:pPr>
            <w:r>
              <w:rPr>
                <w:b/>
                <w:sz w:val="24"/>
                <w:szCs w:val="24"/>
              </w:rPr>
              <w:t>Brak danych</w:t>
            </w:r>
          </w:p>
        </w:tc>
      </w:tr>
      <w:tr w:rsidR="005736B4" w14:paraId="4EC78739"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6AAC3701"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1.9</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71041" w14:textId="77777777" w:rsidR="005736B4" w:rsidRDefault="005F09CA">
            <w:pPr>
              <w:pStyle w:val="Standard"/>
              <w:widowControl w:val="0"/>
              <w:spacing w:before="46" w:after="0" w:line="24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5736B4" w14:paraId="422C20BB"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579B680D"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a)</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3AC76"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powyżej 1 roku do 3 lat</w:t>
            </w:r>
          </w:p>
        </w:tc>
      </w:tr>
      <w:tr w:rsidR="005736B4" w14:paraId="21A950DD"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31F07522"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A72F7" w14:textId="77777777" w:rsidR="005736B4" w:rsidRDefault="005F09CA">
            <w:pPr>
              <w:pStyle w:val="Standard"/>
              <w:spacing w:after="0" w:line="100" w:lineRule="atLeast"/>
              <w:rPr>
                <w:b/>
                <w:sz w:val="24"/>
                <w:szCs w:val="24"/>
              </w:rPr>
            </w:pPr>
            <w:r>
              <w:rPr>
                <w:b/>
                <w:sz w:val="24"/>
                <w:szCs w:val="24"/>
              </w:rPr>
              <w:t>Brak danych</w:t>
            </w:r>
          </w:p>
        </w:tc>
      </w:tr>
      <w:tr w:rsidR="005736B4" w14:paraId="1AF8F4A3"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778FEDBF"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b)</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B2D1"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powyżej 3 do 5 lat</w:t>
            </w:r>
          </w:p>
        </w:tc>
      </w:tr>
      <w:tr w:rsidR="005736B4" w14:paraId="73679BF7"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5BCDDC97"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482B9" w14:textId="77777777" w:rsidR="005736B4" w:rsidRDefault="005F09CA">
            <w:pPr>
              <w:pStyle w:val="Standard"/>
              <w:spacing w:after="0" w:line="100" w:lineRule="atLeast"/>
              <w:rPr>
                <w:b/>
                <w:sz w:val="24"/>
                <w:szCs w:val="24"/>
              </w:rPr>
            </w:pPr>
            <w:r>
              <w:rPr>
                <w:b/>
                <w:sz w:val="24"/>
                <w:szCs w:val="24"/>
              </w:rPr>
              <w:t>Brak danych</w:t>
            </w:r>
          </w:p>
        </w:tc>
      </w:tr>
      <w:tr w:rsidR="005736B4" w14:paraId="500B47E4"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68D74BBD"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c)</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78FD"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powyżej 5 lat</w:t>
            </w:r>
          </w:p>
        </w:tc>
      </w:tr>
      <w:tr w:rsidR="005736B4" w14:paraId="7B55009D"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5BD1E8B1"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8B99A" w14:textId="77777777" w:rsidR="005736B4" w:rsidRDefault="005F09CA">
            <w:pPr>
              <w:pStyle w:val="Standard"/>
              <w:spacing w:after="0" w:line="100" w:lineRule="atLeast"/>
              <w:rPr>
                <w:b/>
                <w:sz w:val="24"/>
                <w:szCs w:val="24"/>
              </w:rPr>
            </w:pPr>
            <w:r>
              <w:rPr>
                <w:b/>
                <w:sz w:val="24"/>
                <w:szCs w:val="24"/>
              </w:rPr>
              <w:t>Brak danych</w:t>
            </w:r>
          </w:p>
        </w:tc>
      </w:tr>
      <w:tr w:rsidR="005736B4" w14:paraId="79C5D4CD"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070585AB"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1.10</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5A3B2" w14:textId="791B7C1E" w:rsidR="005736B4" w:rsidRDefault="005F09CA">
            <w:pPr>
              <w:pStyle w:val="Standard"/>
              <w:widowControl w:val="0"/>
              <w:spacing w:before="47" w:after="0" w:line="24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 sytuacji, 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sidR="00E903EB">
              <w:rPr>
                <w:color w:val="2E2014"/>
                <w:sz w:val="20"/>
                <w:szCs w:val="20"/>
              </w:rPr>
              <w:t>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5736B4" w14:paraId="4EAED9D5"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3581C777"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DF7F9" w14:textId="77777777" w:rsidR="005736B4" w:rsidRDefault="005F09CA">
            <w:pPr>
              <w:pStyle w:val="Standard"/>
              <w:spacing w:after="0" w:line="100" w:lineRule="atLeast"/>
              <w:rPr>
                <w:b/>
                <w:sz w:val="24"/>
                <w:szCs w:val="24"/>
              </w:rPr>
            </w:pPr>
            <w:r>
              <w:rPr>
                <w:b/>
                <w:sz w:val="24"/>
                <w:szCs w:val="24"/>
              </w:rPr>
              <w:t>Brak danych</w:t>
            </w:r>
          </w:p>
        </w:tc>
      </w:tr>
      <w:tr w:rsidR="005736B4" w14:paraId="17C32710"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24E79A12"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1.11</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E6846" w14:textId="77777777" w:rsidR="005736B4" w:rsidRDefault="005F09CA">
            <w:pPr>
              <w:pStyle w:val="Standard"/>
              <w:widowControl w:val="0"/>
              <w:spacing w:before="47" w:after="0" w:line="24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5736B4" w14:paraId="164A550A"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34BE5E4A"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40FAF" w14:textId="77777777" w:rsidR="005736B4" w:rsidRDefault="005F09CA">
            <w:pPr>
              <w:pStyle w:val="Standard"/>
              <w:spacing w:after="0" w:line="100" w:lineRule="atLeast"/>
              <w:rPr>
                <w:b/>
                <w:sz w:val="24"/>
                <w:szCs w:val="24"/>
              </w:rPr>
            </w:pPr>
            <w:r>
              <w:rPr>
                <w:b/>
                <w:sz w:val="24"/>
                <w:szCs w:val="24"/>
              </w:rPr>
              <w:t>Brak danych</w:t>
            </w:r>
          </w:p>
        </w:tc>
      </w:tr>
      <w:tr w:rsidR="005736B4" w14:paraId="4290360C"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3CAD1768"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1.12</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7C227" w14:textId="77777777" w:rsidR="005736B4" w:rsidRDefault="005F09CA">
            <w:pPr>
              <w:pStyle w:val="Standard"/>
              <w:widowControl w:val="0"/>
              <w:spacing w:before="47" w:after="0" w:line="24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5736B4" w14:paraId="5CF7A2CF"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31764912"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E01CC" w14:textId="77777777" w:rsidR="005736B4" w:rsidRDefault="005F09CA">
            <w:pPr>
              <w:pStyle w:val="Standard"/>
              <w:spacing w:after="0" w:line="100" w:lineRule="atLeast"/>
              <w:rPr>
                <w:b/>
                <w:sz w:val="24"/>
                <w:szCs w:val="24"/>
              </w:rPr>
            </w:pPr>
            <w:r>
              <w:rPr>
                <w:b/>
                <w:sz w:val="24"/>
                <w:szCs w:val="24"/>
              </w:rPr>
              <w:t>Brak danych</w:t>
            </w:r>
          </w:p>
        </w:tc>
      </w:tr>
      <w:tr w:rsidR="005736B4" w14:paraId="318F8924"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232DC5C7"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1.13</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93052" w14:textId="77777777" w:rsidR="005736B4" w:rsidRDefault="005F09CA">
            <w:pPr>
              <w:pStyle w:val="Standard"/>
              <w:widowControl w:val="0"/>
              <w:spacing w:before="47" w:after="0" w:line="240" w:lineRule="auto"/>
              <w:ind w:right="40"/>
              <w:jc w:val="both"/>
              <w:rPr>
                <w:color w:val="2E2014"/>
                <w:sz w:val="20"/>
                <w:szCs w:val="20"/>
              </w:rPr>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5736B4" w14:paraId="6548095B"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6A8CEB43"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A6A97" w14:textId="77777777" w:rsidR="005736B4" w:rsidRDefault="005F09CA">
            <w:pPr>
              <w:pStyle w:val="Standard"/>
              <w:spacing w:after="0" w:line="100" w:lineRule="atLeast"/>
              <w:rPr>
                <w:b/>
                <w:sz w:val="24"/>
                <w:szCs w:val="24"/>
              </w:rPr>
            </w:pPr>
            <w:r>
              <w:rPr>
                <w:b/>
                <w:sz w:val="24"/>
                <w:szCs w:val="24"/>
              </w:rPr>
              <w:t>Brak danych</w:t>
            </w:r>
          </w:p>
        </w:tc>
      </w:tr>
      <w:tr w:rsidR="005736B4" w14:paraId="5A172D58"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179BD47C"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1.14</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34627"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łączną kwotę otrzymanych przez jednostkę gwarancji i poręczeń niewykazanych w bilansie</w:t>
            </w:r>
          </w:p>
        </w:tc>
      </w:tr>
      <w:tr w:rsidR="005736B4" w14:paraId="6E582FBB"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46336761"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1C8FC" w14:textId="77777777" w:rsidR="005736B4" w:rsidRDefault="005F09CA">
            <w:pPr>
              <w:pStyle w:val="Standard"/>
              <w:spacing w:after="0" w:line="100" w:lineRule="atLeast"/>
              <w:rPr>
                <w:b/>
                <w:sz w:val="24"/>
                <w:szCs w:val="24"/>
              </w:rPr>
            </w:pPr>
            <w:r>
              <w:rPr>
                <w:b/>
                <w:sz w:val="24"/>
                <w:szCs w:val="24"/>
              </w:rPr>
              <w:t>Brak danych</w:t>
            </w:r>
          </w:p>
        </w:tc>
      </w:tr>
      <w:tr w:rsidR="005736B4" w14:paraId="0F9143CF" w14:textId="77777777" w:rsidTr="00E302FF">
        <w:trPr>
          <w:trHeight w:val="477"/>
        </w:trPr>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482BFE03" w14:textId="77777777" w:rsidR="005736B4" w:rsidRDefault="005F09CA">
            <w:pPr>
              <w:pStyle w:val="Standard"/>
              <w:widowControl w:val="0"/>
              <w:spacing w:before="47" w:after="0" w:line="100" w:lineRule="atLeast"/>
              <w:ind w:right="-20"/>
            </w:pPr>
            <w:r>
              <w:rPr>
                <w:color w:val="2E2014"/>
                <w:sz w:val="20"/>
                <w:szCs w:val="20"/>
              </w:rPr>
              <w:t>1.15</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C9447"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kwotę wypłaconych środków pieniężnych na świadczenia pracownicze</w:t>
            </w:r>
          </w:p>
        </w:tc>
      </w:tr>
      <w:tr w:rsidR="005736B4" w14:paraId="2F7529A5"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52E311C6"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ADE5" w14:textId="4D53F8EB" w:rsidR="005736B4" w:rsidRDefault="007F1824">
            <w:pPr>
              <w:pStyle w:val="Standard"/>
              <w:spacing w:after="0" w:line="100" w:lineRule="atLeast"/>
              <w:rPr>
                <w:b/>
                <w:sz w:val="24"/>
                <w:szCs w:val="24"/>
              </w:rPr>
            </w:pPr>
            <w:r>
              <w:rPr>
                <w:b/>
                <w:sz w:val="24"/>
                <w:szCs w:val="24"/>
              </w:rPr>
              <w:t>72 371,87</w:t>
            </w:r>
            <w:r w:rsidR="005F09CA">
              <w:rPr>
                <w:b/>
                <w:sz w:val="24"/>
                <w:szCs w:val="24"/>
              </w:rPr>
              <w:t xml:space="preserve"> PLN</w:t>
            </w:r>
          </w:p>
        </w:tc>
      </w:tr>
      <w:tr w:rsidR="005736B4" w14:paraId="47203F70"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3CCB77BB"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1.16</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2423"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inne informacje</w:t>
            </w:r>
          </w:p>
        </w:tc>
      </w:tr>
      <w:tr w:rsidR="005736B4" w14:paraId="5299D19D"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3B2E74AB"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E9AD1" w14:textId="460DAAFB" w:rsidR="005736B4" w:rsidRDefault="005F09CA">
            <w:pPr>
              <w:pStyle w:val="Standard"/>
              <w:spacing w:after="0" w:line="100" w:lineRule="atLeast"/>
              <w:rPr>
                <w:b/>
                <w:sz w:val="24"/>
                <w:szCs w:val="24"/>
              </w:rPr>
            </w:pPr>
            <w:r>
              <w:rPr>
                <w:b/>
                <w:sz w:val="24"/>
                <w:szCs w:val="24"/>
              </w:rPr>
              <w:t xml:space="preserve">Umorzenie pozostałych środków trwałych – </w:t>
            </w:r>
            <w:r w:rsidR="007F1824">
              <w:rPr>
                <w:b/>
                <w:sz w:val="24"/>
                <w:szCs w:val="24"/>
              </w:rPr>
              <w:t>594 634,11</w:t>
            </w:r>
            <w:r>
              <w:rPr>
                <w:b/>
                <w:sz w:val="24"/>
                <w:szCs w:val="24"/>
              </w:rPr>
              <w:t xml:space="preserve"> PLN</w:t>
            </w:r>
          </w:p>
          <w:p w14:paraId="7CC5FD78" w14:textId="1935A8BE" w:rsidR="005736B4" w:rsidRDefault="005F09CA">
            <w:pPr>
              <w:pStyle w:val="Standard"/>
              <w:spacing w:after="0" w:line="100" w:lineRule="atLeast"/>
              <w:rPr>
                <w:b/>
                <w:sz w:val="24"/>
                <w:szCs w:val="24"/>
              </w:rPr>
            </w:pPr>
            <w:r>
              <w:rPr>
                <w:b/>
                <w:sz w:val="24"/>
                <w:szCs w:val="24"/>
              </w:rPr>
              <w:t xml:space="preserve">Zbiory biblioteczne – </w:t>
            </w:r>
            <w:r w:rsidR="007F1824">
              <w:rPr>
                <w:b/>
                <w:sz w:val="24"/>
                <w:szCs w:val="24"/>
              </w:rPr>
              <w:t>26 959,69</w:t>
            </w:r>
            <w:r>
              <w:rPr>
                <w:b/>
                <w:sz w:val="24"/>
                <w:szCs w:val="24"/>
              </w:rPr>
              <w:t xml:space="preserve"> PLN</w:t>
            </w:r>
          </w:p>
        </w:tc>
      </w:tr>
      <w:tr w:rsidR="005736B4" w14:paraId="28D7B4BA"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720B6759" w14:textId="77777777" w:rsidR="005736B4" w:rsidRDefault="005F09CA">
            <w:pPr>
              <w:pStyle w:val="Standard"/>
              <w:spacing w:after="0" w:line="100" w:lineRule="atLeast"/>
              <w:rPr>
                <w:rFonts w:cs="Calibri"/>
                <w:sz w:val="20"/>
                <w:szCs w:val="20"/>
              </w:rPr>
            </w:pPr>
            <w:r>
              <w:rPr>
                <w:rFonts w:cs="Calibri"/>
                <w:sz w:val="20"/>
                <w:szCs w:val="20"/>
              </w:rPr>
              <w:t>2.</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8B014" w14:textId="77777777" w:rsidR="005736B4" w:rsidRDefault="005736B4">
            <w:pPr>
              <w:pStyle w:val="Standard"/>
              <w:snapToGrid w:val="0"/>
              <w:spacing w:after="0" w:line="100" w:lineRule="atLeast"/>
              <w:rPr>
                <w:b/>
                <w:sz w:val="24"/>
                <w:szCs w:val="24"/>
              </w:rPr>
            </w:pPr>
          </w:p>
        </w:tc>
      </w:tr>
      <w:tr w:rsidR="005736B4" w14:paraId="3BAD0A0D"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763D05A7"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2.1</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EDFD1"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wysokość odpisów aktualizujących wartość zapasów</w:t>
            </w:r>
          </w:p>
        </w:tc>
      </w:tr>
      <w:tr w:rsidR="005736B4" w14:paraId="3892C226"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7867663E"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4A57" w14:textId="77777777" w:rsidR="005736B4" w:rsidRDefault="005F09CA">
            <w:pPr>
              <w:pStyle w:val="Standard"/>
              <w:spacing w:after="0" w:line="100" w:lineRule="atLeast"/>
              <w:rPr>
                <w:b/>
                <w:sz w:val="24"/>
                <w:szCs w:val="24"/>
              </w:rPr>
            </w:pPr>
            <w:r>
              <w:rPr>
                <w:b/>
                <w:sz w:val="24"/>
                <w:szCs w:val="24"/>
              </w:rPr>
              <w:t>Brak danych</w:t>
            </w:r>
          </w:p>
        </w:tc>
      </w:tr>
      <w:tr w:rsidR="005736B4" w14:paraId="1F245DFB"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712EFDC6" w14:textId="77777777" w:rsidR="005736B4" w:rsidRDefault="005F09CA" w:rsidP="00E903EB">
            <w:pPr>
              <w:pStyle w:val="Standard"/>
              <w:widowControl w:val="0"/>
              <w:spacing w:before="47" w:after="0" w:line="100" w:lineRule="atLeast"/>
              <w:ind w:right="-20"/>
              <w:jc w:val="both"/>
              <w:rPr>
                <w:color w:val="2E2014"/>
                <w:sz w:val="20"/>
                <w:szCs w:val="20"/>
              </w:rPr>
            </w:pPr>
            <w:r>
              <w:rPr>
                <w:color w:val="2E2014"/>
                <w:sz w:val="20"/>
                <w:szCs w:val="20"/>
              </w:rPr>
              <w:t>2.2</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A8A32" w14:textId="77777777" w:rsidR="005736B4" w:rsidRDefault="005F09CA" w:rsidP="00E903EB">
            <w:pPr>
              <w:pStyle w:val="Standard"/>
              <w:widowControl w:val="0"/>
              <w:spacing w:before="47" w:after="0" w:line="240" w:lineRule="auto"/>
              <w:ind w:right="40"/>
              <w:jc w:val="both"/>
              <w:rPr>
                <w:color w:val="2E2014"/>
                <w:sz w:val="20"/>
                <w:szCs w:val="20"/>
              </w:rPr>
            </w:pPr>
            <w:r>
              <w:rPr>
                <w:color w:val="2E2014"/>
                <w:sz w:val="20"/>
                <w:szCs w:val="20"/>
              </w:rPr>
              <w:t>koszt wytworzenia środków trwałych w budowie, w tym odsetki oraz różnice kursowe, które powiększyły koszt wytworzenia środków trwałych w budowie w roku obrotowym</w:t>
            </w:r>
          </w:p>
        </w:tc>
      </w:tr>
      <w:tr w:rsidR="005736B4" w14:paraId="3A8A39C9"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51363A67"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B618D" w14:textId="77777777" w:rsidR="005736B4" w:rsidRDefault="005F09CA">
            <w:pPr>
              <w:pStyle w:val="Standard"/>
              <w:spacing w:after="0" w:line="100" w:lineRule="atLeast"/>
              <w:rPr>
                <w:b/>
                <w:sz w:val="24"/>
                <w:szCs w:val="24"/>
              </w:rPr>
            </w:pPr>
            <w:r>
              <w:rPr>
                <w:b/>
                <w:sz w:val="24"/>
                <w:szCs w:val="24"/>
              </w:rPr>
              <w:t>Brak danych</w:t>
            </w:r>
          </w:p>
        </w:tc>
      </w:tr>
      <w:tr w:rsidR="005736B4" w14:paraId="37B80894"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63D7AC82"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2.3</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1E4EB" w14:textId="77777777" w:rsidR="005736B4" w:rsidRDefault="005F09CA">
            <w:pPr>
              <w:pStyle w:val="Standard"/>
              <w:widowControl w:val="0"/>
              <w:spacing w:before="47" w:after="0" w:line="240" w:lineRule="auto"/>
              <w:ind w:right="40"/>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p>
        </w:tc>
      </w:tr>
      <w:tr w:rsidR="005736B4" w14:paraId="200CC55D"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2A2DDD40"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D9EAA" w14:textId="01BFE5A8" w:rsidR="005736B4" w:rsidRDefault="005F09CA">
            <w:pPr>
              <w:pStyle w:val="Standard"/>
              <w:snapToGrid w:val="0"/>
              <w:spacing w:after="0" w:line="100" w:lineRule="atLeast"/>
              <w:rPr>
                <w:rFonts w:cs="Calibri"/>
                <w:b/>
                <w:sz w:val="24"/>
                <w:szCs w:val="24"/>
              </w:rPr>
            </w:pPr>
            <w:r>
              <w:rPr>
                <w:rFonts w:cs="Calibri"/>
                <w:b/>
                <w:sz w:val="24"/>
                <w:szCs w:val="24"/>
              </w:rPr>
              <w:t xml:space="preserve">Fundusz Pomocy Ukrainie – </w:t>
            </w:r>
            <w:r w:rsidR="007F1824">
              <w:rPr>
                <w:rFonts w:cs="Calibri"/>
                <w:b/>
                <w:sz w:val="24"/>
                <w:szCs w:val="24"/>
              </w:rPr>
              <w:t>69 091,67</w:t>
            </w:r>
            <w:r>
              <w:rPr>
                <w:rFonts w:cs="Calibri"/>
                <w:b/>
                <w:sz w:val="24"/>
                <w:szCs w:val="24"/>
              </w:rPr>
              <w:t xml:space="preserve"> zł</w:t>
            </w:r>
          </w:p>
        </w:tc>
      </w:tr>
      <w:tr w:rsidR="005736B4" w14:paraId="1254936D"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24FC3FF4"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2.4</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2BD5" w14:textId="577AC8F8" w:rsidR="005736B4" w:rsidRDefault="005F09CA">
            <w:pPr>
              <w:pStyle w:val="Standard"/>
              <w:widowControl w:val="0"/>
              <w:spacing w:before="46" w:after="0" w:line="240" w:lineRule="auto"/>
              <w:ind w:right="40"/>
              <w:jc w:val="both"/>
              <w:rPr>
                <w:color w:val="2E2014"/>
                <w:sz w:val="20"/>
                <w:szCs w:val="20"/>
              </w:rPr>
            </w:pPr>
            <w:r>
              <w:rPr>
                <w:color w:val="2E2014"/>
                <w:sz w:val="20"/>
                <w:szCs w:val="20"/>
              </w:rPr>
              <w:t>informację o kwocie należności z tytułu podatków realizowanych przez organy podatkowe podległe ministrowi właściwemu do spraw finansów publicznych wykazywanych w</w:t>
            </w:r>
            <w:r w:rsidR="00E903EB">
              <w:rPr>
                <w:color w:val="2E2014"/>
                <w:sz w:val="20"/>
                <w:szCs w:val="20"/>
              </w:rPr>
              <w:t> </w:t>
            </w:r>
            <w:r>
              <w:rPr>
                <w:color w:val="2E2014"/>
                <w:sz w:val="20"/>
                <w:szCs w:val="20"/>
              </w:rPr>
              <w:t>sprawozdaniu z wykonania planu dochodów budżetowych</w:t>
            </w:r>
          </w:p>
        </w:tc>
      </w:tr>
      <w:tr w:rsidR="005736B4" w14:paraId="665ABA53"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51A8789D"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80BD5" w14:textId="77777777" w:rsidR="005736B4" w:rsidRDefault="005F09CA">
            <w:pPr>
              <w:pStyle w:val="Standard"/>
              <w:spacing w:after="0" w:line="100" w:lineRule="atLeast"/>
              <w:rPr>
                <w:b/>
                <w:sz w:val="24"/>
                <w:szCs w:val="24"/>
              </w:rPr>
            </w:pPr>
            <w:r>
              <w:rPr>
                <w:b/>
                <w:sz w:val="24"/>
                <w:szCs w:val="24"/>
              </w:rPr>
              <w:t>Brak danych</w:t>
            </w:r>
          </w:p>
        </w:tc>
      </w:tr>
      <w:tr w:rsidR="005736B4" w14:paraId="660D75ED"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41AAFB16"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2.5</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F5B46"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inne informacje</w:t>
            </w:r>
          </w:p>
        </w:tc>
      </w:tr>
      <w:tr w:rsidR="005736B4" w14:paraId="04829D54"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2D71FBB6"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23D34" w14:textId="77777777" w:rsidR="005736B4" w:rsidRDefault="005F09CA">
            <w:pPr>
              <w:pStyle w:val="Standard"/>
              <w:spacing w:after="0" w:line="100" w:lineRule="atLeast"/>
              <w:rPr>
                <w:b/>
                <w:sz w:val="24"/>
                <w:szCs w:val="24"/>
              </w:rPr>
            </w:pPr>
            <w:r>
              <w:rPr>
                <w:b/>
                <w:sz w:val="24"/>
                <w:szCs w:val="24"/>
              </w:rPr>
              <w:t>Brak danych</w:t>
            </w:r>
          </w:p>
        </w:tc>
      </w:tr>
      <w:tr w:rsidR="005736B4" w14:paraId="2003F545"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21DA6427"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3.</w:t>
            </w: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0EE54" w14:textId="77777777" w:rsidR="005736B4" w:rsidRDefault="005F09CA">
            <w:pPr>
              <w:pStyle w:val="Standard"/>
              <w:widowControl w:val="0"/>
              <w:spacing w:before="46" w:after="0" w:line="24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5736B4" w14:paraId="338B2BBB" w14:textId="77777777" w:rsidTr="00E302FF">
        <w:tc>
          <w:tcPr>
            <w:tcW w:w="188" w:type="pct"/>
            <w:tcBorders>
              <w:top w:val="single" w:sz="4" w:space="0" w:color="000000"/>
              <w:left w:val="single" w:sz="4" w:space="0" w:color="000000"/>
              <w:bottom w:val="single" w:sz="4" w:space="0" w:color="000000"/>
            </w:tcBorders>
            <w:tcMar>
              <w:top w:w="0" w:type="dxa"/>
              <w:left w:w="108" w:type="dxa"/>
              <w:bottom w:w="0" w:type="dxa"/>
              <w:right w:w="108" w:type="dxa"/>
            </w:tcMar>
          </w:tcPr>
          <w:p w14:paraId="52E508FE" w14:textId="77777777" w:rsidR="005736B4" w:rsidRDefault="005736B4">
            <w:pPr>
              <w:pStyle w:val="Standard"/>
              <w:snapToGrid w:val="0"/>
              <w:spacing w:after="0" w:line="100" w:lineRule="atLeast"/>
              <w:rPr>
                <w:rFonts w:cs="Calibri"/>
                <w:sz w:val="20"/>
                <w:szCs w:val="20"/>
              </w:rPr>
            </w:pPr>
          </w:p>
        </w:tc>
        <w:tc>
          <w:tcPr>
            <w:tcW w:w="48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6E991" w14:textId="77777777" w:rsidR="005736B4" w:rsidRDefault="005F09CA">
            <w:pPr>
              <w:pStyle w:val="Standard"/>
              <w:spacing w:after="0" w:line="100" w:lineRule="atLeast"/>
              <w:rPr>
                <w:b/>
                <w:sz w:val="24"/>
                <w:szCs w:val="24"/>
              </w:rPr>
            </w:pPr>
            <w:r>
              <w:rPr>
                <w:b/>
                <w:sz w:val="24"/>
                <w:szCs w:val="24"/>
              </w:rPr>
              <w:t>Brak danych</w:t>
            </w:r>
          </w:p>
        </w:tc>
      </w:tr>
    </w:tbl>
    <w:p w14:paraId="7D19666B" w14:textId="77777777" w:rsidR="005736B4" w:rsidRPr="00E903EB" w:rsidRDefault="005736B4">
      <w:pPr>
        <w:pStyle w:val="Standard"/>
        <w:rPr>
          <w:bCs/>
        </w:rPr>
      </w:pPr>
    </w:p>
    <w:p w14:paraId="2F859FB4" w14:textId="77777777" w:rsidR="005736B4" w:rsidRPr="00E903EB" w:rsidRDefault="005736B4" w:rsidP="00B4077D">
      <w:pPr>
        <w:pStyle w:val="Standard"/>
        <w:rPr>
          <w:bCs/>
        </w:rPr>
      </w:pPr>
    </w:p>
    <w:p w14:paraId="24635BD9" w14:textId="77777777" w:rsidR="00E903EB" w:rsidRPr="00E903EB" w:rsidRDefault="00E903EB" w:rsidP="00E903EB">
      <w:pPr>
        <w:pStyle w:val="Standard"/>
        <w:spacing w:after="0" w:line="240" w:lineRule="auto"/>
        <w:rPr>
          <w:bCs/>
        </w:rPr>
      </w:pPr>
    </w:p>
    <w:p w14:paraId="069C3E9C" w14:textId="77777777" w:rsidR="00E903EB" w:rsidRDefault="00E903EB" w:rsidP="00E903EB">
      <w:pPr>
        <w:pStyle w:val="Standard"/>
        <w:spacing w:after="0" w:line="240" w:lineRule="auto"/>
      </w:pPr>
      <w:bookmarkStart w:id="0" w:name="_Hlk192149222"/>
    </w:p>
    <w:p w14:paraId="324B2D4A" w14:textId="72E7EF79" w:rsidR="00E903EB" w:rsidRDefault="00E903EB" w:rsidP="00E903EB">
      <w:pPr>
        <w:pStyle w:val="Standard"/>
        <w:spacing w:after="0" w:line="240" w:lineRule="auto"/>
        <w:ind w:firstLine="426"/>
        <w:rPr>
          <w:color w:val="2E2014"/>
          <w:sz w:val="18"/>
          <w:szCs w:val="18"/>
        </w:rPr>
      </w:pPr>
      <w:r w:rsidRPr="00E903EB">
        <w:rPr>
          <w:color w:val="2E2014"/>
          <w:position w:val="-3"/>
          <w:sz w:val="18"/>
          <w:szCs w:val="18"/>
        </w:rPr>
        <w:t>...............................</w:t>
      </w:r>
      <w:r>
        <w:rPr>
          <w:color w:val="2E2014"/>
          <w:position w:val="-3"/>
          <w:sz w:val="18"/>
          <w:szCs w:val="18"/>
        </w:rPr>
        <w:t>..</w:t>
      </w:r>
      <w:r w:rsidRPr="00E903EB">
        <w:rPr>
          <w:color w:val="2E2014"/>
          <w:position w:val="-3"/>
          <w:sz w:val="18"/>
          <w:szCs w:val="18"/>
        </w:rPr>
        <w:t>.............</w:t>
      </w:r>
      <w:r>
        <w:rPr>
          <w:color w:val="2E2014"/>
          <w:position w:val="-3"/>
          <w:sz w:val="18"/>
          <w:szCs w:val="18"/>
        </w:rPr>
        <w:tab/>
      </w:r>
      <w:r>
        <w:rPr>
          <w:color w:val="2E2014"/>
          <w:position w:val="-3"/>
          <w:sz w:val="18"/>
          <w:szCs w:val="18"/>
        </w:rPr>
        <w:tab/>
      </w:r>
      <w:r>
        <w:rPr>
          <w:color w:val="2E2014"/>
          <w:position w:val="-3"/>
          <w:sz w:val="18"/>
          <w:szCs w:val="18"/>
        </w:rPr>
        <w:tab/>
      </w:r>
      <w:r>
        <w:rPr>
          <w:color w:val="2E2014"/>
          <w:position w:val="-3"/>
          <w:sz w:val="18"/>
          <w:szCs w:val="18"/>
        </w:rPr>
        <w:tab/>
      </w:r>
      <w:r w:rsidRPr="00E903EB">
        <w:rPr>
          <w:color w:val="2E2014"/>
          <w:position w:val="-3"/>
          <w:sz w:val="18"/>
          <w:szCs w:val="18"/>
        </w:rPr>
        <w:t>............................</w:t>
      </w:r>
      <w:r>
        <w:rPr>
          <w:color w:val="2E2014"/>
          <w:position w:val="-3"/>
          <w:sz w:val="18"/>
          <w:szCs w:val="18"/>
        </w:rPr>
        <w:t>..</w:t>
      </w:r>
      <w:r w:rsidRPr="00E903EB">
        <w:rPr>
          <w:color w:val="2E2014"/>
          <w:position w:val="-3"/>
          <w:sz w:val="18"/>
          <w:szCs w:val="18"/>
        </w:rPr>
        <w:t>................</w:t>
      </w:r>
      <w:r>
        <w:rPr>
          <w:color w:val="2E2014"/>
          <w:position w:val="-3"/>
          <w:sz w:val="18"/>
          <w:szCs w:val="18"/>
        </w:rPr>
        <w:tab/>
      </w:r>
      <w:r>
        <w:rPr>
          <w:color w:val="2E2014"/>
          <w:position w:val="-3"/>
          <w:sz w:val="18"/>
          <w:szCs w:val="18"/>
        </w:rPr>
        <w:tab/>
      </w:r>
      <w:r>
        <w:rPr>
          <w:color w:val="2E2014"/>
          <w:position w:val="-3"/>
          <w:sz w:val="18"/>
          <w:szCs w:val="18"/>
        </w:rPr>
        <w:tab/>
      </w:r>
      <w:r>
        <w:rPr>
          <w:color w:val="2E2014"/>
          <w:position w:val="-3"/>
          <w:sz w:val="18"/>
          <w:szCs w:val="18"/>
        </w:rPr>
        <w:tab/>
      </w:r>
      <w:r>
        <w:rPr>
          <w:color w:val="2E2014"/>
          <w:position w:val="-3"/>
          <w:sz w:val="18"/>
          <w:szCs w:val="18"/>
        </w:rPr>
        <w:tab/>
      </w:r>
      <w:r>
        <w:rPr>
          <w:color w:val="2E2014"/>
          <w:position w:val="-3"/>
          <w:sz w:val="18"/>
          <w:szCs w:val="18"/>
        </w:rPr>
        <w:tab/>
      </w:r>
      <w:r w:rsidRPr="00E903EB">
        <w:rPr>
          <w:color w:val="2E2014"/>
          <w:sz w:val="18"/>
          <w:szCs w:val="18"/>
        </w:rPr>
        <w:t xml:space="preserve"> </w:t>
      </w:r>
      <w:r w:rsidRPr="00E903EB">
        <w:rPr>
          <w:color w:val="2E2014"/>
          <w:position w:val="-3"/>
          <w:sz w:val="18"/>
          <w:szCs w:val="18"/>
        </w:rPr>
        <w:t>...................</w:t>
      </w:r>
      <w:r>
        <w:rPr>
          <w:color w:val="2E2014"/>
          <w:position w:val="-3"/>
          <w:sz w:val="18"/>
          <w:szCs w:val="18"/>
        </w:rPr>
        <w:t>..</w:t>
      </w:r>
      <w:r w:rsidRPr="00E903EB">
        <w:rPr>
          <w:color w:val="2E2014"/>
          <w:position w:val="-3"/>
          <w:sz w:val="18"/>
          <w:szCs w:val="18"/>
        </w:rPr>
        <w:t>.........................</w:t>
      </w:r>
      <w:r>
        <w:rPr>
          <w:color w:val="2E2014"/>
          <w:position w:val="-3"/>
          <w:sz w:val="18"/>
          <w:szCs w:val="18"/>
        </w:rPr>
        <w:tab/>
      </w:r>
      <w:r w:rsidRPr="00E903EB">
        <w:rPr>
          <w:color w:val="2E2014"/>
          <w:sz w:val="18"/>
          <w:szCs w:val="18"/>
        </w:rPr>
        <w:t xml:space="preserve"> </w:t>
      </w:r>
    </w:p>
    <w:p w14:paraId="78286883" w14:textId="2483E4A9" w:rsidR="00E903EB" w:rsidRDefault="00E903EB" w:rsidP="00E903EB">
      <w:pPr>
        <w:pStyle w:val="Standard"/>
        <w:spacing w:after="0" w:line="240" w:lineRule="auto"/>
        <w:ind w:firstLine="708"/>
      </w:pPr>
      <w:r w:rsidRPr="00E903EB">
        <w:rPr>
          <w:color w:val="2E2014"/>
          <w:sz w:val="18"/>
          <w:szCs w:val="18"/>
        </w:rPr>
        <w:t>(główny księgowy)</w:t>
      </w:r>
      <w:r>
        <w:rPr>
          <w:color w:val="2E2014"/>
          <w:sz w:val="18"/>
          <w:szCs w:val="18"/>
        </w:rPr>
        <w:tab/>
      </w:r>
      <w:r>
        <w:rPr>
          <w:color w:val="2E2014"/>
          <w:sz w:val="18"/>
          <w:szCs w:val="18"/>
        </w:rPr>
        <w:tab/>
      </w:r>
      <w:r>
        <w:rPr>
          <w:color w:val="2E2014"/>
          <w:sz w:val="18"/>
          <w:szCs w:val="18"/>
        </w:rPr>
        <w:tab/>
      </w:r>
      <w:r>
        <w:rPr>
          <w:color w:val="2E2014"/>
          <w:sz w:val="18"/>
          <w:szCs w:val="18"/>
        </w:rPr>
        <w:tab/>
        <w:t xml:space="preserve">     </w:t>
      </w:r>
      <w:r>
        <w:rPr>
          <w:color w:val="2E2014"/>
          <w:sz w:val="18"/>
          <w:szCs w:val="18"/>
        </w:rPr>
        <w:tab/>
        <w:t xml:space="preserve">      </w:t>
      </w:r>
      <w:r w:rsidRPr="00E903EB">
        <w:rPr>
          <w:color w:val="2E2014"/>
          <w:sz w:val="18"/>
          <w:szCs w:val="18"/>
        </w:rPr>
        <w:t>(rok, miesiąc, dzień)</w:t>
      </w:r>
      <w:r>
        <w:rPr>
          <w:color w:val="2E2014"/>
          <w:sz w:val="18"/>
          <w:szCs w:val="18"/>
        </w:rPr>
        <w:tab/>
      </w:r>
      <w:r>
        <w:rPr>
          <w:color w:val="2E2014"/>
          <w:sz w:val="18"/>
          <w:szCs w:val="18"/>
        </w:rPr>
        <w:tab/>
      </w:r>
      <w:r>
        <w:rPr>
          <w:color w:val="2E2014"/>
          <w:sz w:val="18"/>
          <w:szCs w:val="18"/>
        </w:rPr>
        <w:tab/>
      </w:r>
      <w:r>
        <w:rPr>
          <w:color w:val="2E2014"/>
          <w:sz w:val="18"/>
          <w:szCs w:val="18"/>
        </w:rPr>
        <w:tab/>
      </w:r>
      <w:r>
        <w:rPr>
          <w:color w:val="2E2014"/>
          <w:sz w:val="18"/>
          <w:szCs w:val="18"/>
        </w:rPr>
        <w:tab/>
      </w:r>
      <w:r>
        <w:rPr>
          <w:color w:val="2E2014"/>
          <w:sz w:val="18"/>
          <w:szCs w:val="18"/>
        </w:rPr>
        <w:tab/>
        <w:t xml:space="preserve">        </w:t>
      </w:r>
      <w:r w:rsidRPr="00E903EB">
        <w:rPr>
          <w:color w:val="2E2014"/>
          <w:sz w:val="18"/>
          <w:szCs w:val="18"/>
        </w:rPr>
        <w:t>(kierownik jednostki</w:t>
      </w:r>
      <w:r>
        <w:rPr>
          <w:color w:val="2E2014"/>
          <w:sz w:val="18"/>
          <w:szCs w:val="18"/>
        </w:rPr>
        <w:t>)</w:t>
      </w:r>
      <w:bookmarkEnd w:id="0"/>
    </w:p>
    <w:sectPr w:rsidR="00E903EB">
      <w:pgSz w:w="16838" w:h="11906" w:orient="landscape"/>
      <w:pgMar w:top="851" w:right="851" w:bottom="851"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1DE1E" w14:textId="77777777" w:rsidR="005F09CA" w:rsidRDefault="005F09CA">
      <w:r>
        <w:separator/>
      </w:r>
    </w:p>
  </w:endnote>
  <w:endnote w:type="continuationSeparator" w:id="0">
    <w:p w14:paraId="3AA92BFA" w14:textId="77777777" w:rsidR="005F09CA" w:rsidRDefault="005F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Arial Unicode MS'">
    <w:altName w:val="OpenSymbo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BB39" w14:textId="77777777" w:rsidR="005F09CA" w:rsidRDefault="005F09CA">
      <w:r>
        <w:rPr>
          <w:color w:val="000000"/>
        </w:rPr>
        <w:separator/>
      </w:r>
    </w:p>
  </w:footnote>
  <w:footnote w:type="continuationSeparator" w:id="0">
    <w:p w14:paraId="16890131" w14:textId="77777777" w:rsidR="005F09CA" w:rsidRDefault="005F0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F33FE"/>
    <w:multiLevelType w:val="multilevel"/>
    <w:tmpl w:val="BC801788"/>
    <w:styleLink w:val="WW8Num2"/>
    <w:lvl w:ilvl="0">
      <w:numFmt w:val="bullet"/>
      <w:lvlText w:val="-"/>
      <w:lvlJc w:val="left"/>
      <w:pPr>
        <w:ind w:left="720" w:hanging="360"/>
      </w:pPr>
      <w:rPr>
        <w:rFonts w:ascii="OpenSymbol, 'Arial Unicode MS'" w:hAnsi="OpenSymbol, 'Arial Unicode MS'" w:cs="OpenSymbol, 'Arial Unicode MS'"/>
      </w:rPr>
    </w:lvl>
    <w:lvl w:ilvl="1">
      <w:start w:val="1"/>
      <w:numFmt w:val="decimal"/>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53DC5664"/>
    <w:multiLevelType w:val="multilevel"/>
    <w:tmpl w:val="1750C252"/>
    <w:styleLink w:val="WW8Num1"/>
    <w:lvl w:ilvl="0">
      <w:numFmt w:val="bullet"/>
      <w:lvlText w:val="-"/>
      <w:lvlJc w:val="left"/>
      <w:pPr>
        <w:ind w:left="720" w:hanging="360"/>
      </w:pPr>
      <w:rPr>
        <w:rFonts w:ascii="OpenSymbol, 'Arial Unicode MS'" w:hAnsi="OpenSymbol, 'Arial Unicode MS'" w:cs="OpenSymbol, 'Arial Unicode M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79A33A59"/>
    <w:multiLevelType w:val="multilevel"/>
    <w:tmpl w:val="42D081EE"/>
    <w:styleLink w:val="WW8Num3"/>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582378294">
    <w:abstractNumId w:val="1"/>
  </w:num>
  <w:num w:numId="2" w16cid:durableId="517474333">
    <w:abstractNumId w:val="0"/>
  </w:num>
  <w:num w:numId="3" w16cid:durableId="248391911">
    <w:abstractNumId w:val="2"/>
  </w:num>
  <w:num w:numId="4" w16cid:durableId="949824611">
    <w:abstractNumId w:val="0"/>
  </w:num>
  <w:num w:numId="5" w16cid:durableId="2031904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6B4"/>
    <w:rsid w:val="00026481"/>
    <w:rsid w:val="000748C6"/>
    <w:rsid w:val="00191988"/>
    <w:rsid w:val="0021150E"/>
    <w:rsid w:val="005736B4"/>
    <w:rsid w:val="0057471B"/>
    <w:rsid w:val="005F09CA"/>
    <w:rsid w:val="006A6AA0"/>
    <w:rsid w:val="007F1824"/>
    <w:rsid w:val="0083553C"/>
    <w:rsid w:val="00AD3E3A"/>
    <w:rsid w:val="00B4077D"/>
    <w:rsid w:val="00B6790A"/>
    <w:rsid w:val="00DD7DF5"/>
    <w:rsid w:val="00E302FF"/>
    <w:rsid w:val="00E903EB"/>
    <w:rsid w:val="00EE4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32B6"/>
  <w15:docId w15:val="{D41CDC99-738D-4B89-B993-720C2103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160" w:line="244" w:lineRule="auto"/>
    </w:pPr>
    <w:rPr>
      <w:rFonts w:ascii="Calibri" w:eastAsia="Calibri" w:hAnsi="Calibri" w:cs="Times New Roman"/>
      <w:sz w:val="22"/>
      <w:szCs w:val="22"/>
      <w:lang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kapitzlist">
    <w:name w:val="List Paragraph"/>
    <w:basedOn w:val="Standard"/>
    <w:pPr>
      <w:ind w:left="720"/>
    </w:pPr>
  </w:style>
  <w:style w:type="paragraph" w:styleId="Tekstdymka">
    <w:name w:val="Balloon Text"/>
    <w:basedOn w:val="Standard"/>
    <w:pPr>
      <w:spacing w:after="0" w:line="100" w:lineRule="atLeast"/>
    </w:pPr>
    <w:rPr>
      <w:rFonts w:ascii="Segoe UI" w:eastAsia="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OpenSymbol, 'Arial Unicode MS'" w:eastAsia="OpenSymbol, 'Arial Unicode MS'" w:hAnsi="OpenSymbol, 'Arial Unicode MS'" w:cs="OpenSymbol, 'Arial Unicode MS'"/>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OpenSymbol, 'Arial Unicode MS'" w:eastAsia="OpenSymbol, 'Arial Unicode MS'" w:hAnsi="OpenSymbol, 'Arial Unicode MS'" w:cs="OpenSymbol, 'Arial Unicode MS'"/>
    </w:rPr>
  </w:style>
  <w:style w:type="character" w:customStyle="1" w:styleId="WW8Num2z1">
    <w:name w:val="WW8Num2z1"/>
    <w:rPr>
      <w:rFonts w:cs="Times New Roman"/>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TekstdymkaZnak">
    <w:name w:val="Tekst dymka Znak"/>
    <w:basedOn w:val="Domylnaczcionkaakapitu"/>
    <w:rPr>
      <w:rFonts w:ascii="Segoe UI" w:eastAsia="Segoe UI" w:hAnsi="Segoe UI" w:cs="Segoe UI"/>
      <w:sz w:val="18"/>
    </w:rPr>
  </w:style>
  <w:style w:type="character" w:customStyle="1" w:styleId="StrongEmphasis">
    <w:name w:val="Strong Emphasis"/>
    <w:rPr>
      <w:b/>
      <w:bCs/>
    </w:rPr>
  </w:style>
  <w:style w:type="character" w:customStyle="1" w:styleId="ListLabel1">
    <w:name w:val="ListLabel 1"/>
    <w:rPr>
      <w:rFonts w:eastAsia="Times New Roman"/>
    </w:rPr>
  </w:style>
  <w:style w:type="character" w:customStyle="1" w:styleId="ListLabel2">
    <w:name w:val="ListLabel 2"/>
    <w:rPr>
      <w:rFonts w:cs="Times New Roman"/>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263498">
      <w:bodyDiv w:val="1"/>
      <w:marLeft w:val="0"/>
      <w:marRight w:val="0"/>
      <w:marTop w:val="0"/>
      <w:marBottom w:val="0"/>
      <w:divBdr>
        <w:top w:val="none" w:sz="0" w:space="0" w:color="auto"/>
        <w:left w:val="none" w:sz="0" w:space="0" w:color="auto"/>
        <w:bottom w:val="none" w:sz="0" w:space="0" w:color="auto"/>
        <w:right w:val="none" w:sz="0" w:space="0" w:color="auto"/>
      </w:divBdr>
    </w:div>
    <w:div w:id="734163296">
      <w:bodyDiv w:val="1"/>
      <w:marLeft w:val="0"/>
      <w:marRight w:val="0"/>
      <w:marTop w:val="0"/>
      <w:marBottom w:val="0"/>
      <w:divBdr>
        <w:top w:val="none" w:sz="0" w:space="0" w:color="auto"/>
        <w:left w:val="none" w:sz="0" w:space="0" w:color="auto"/>
        <w:bottom w:val="none" w:sz="0" w:space="0" w:color="auto"/>
        <w:right w:val="none" w:sz="0" w:space="0" w:color="auto"/>
      </w:divBdr>
    </w:div>
    <w:div w:id="1012149221">
      <w:bodyDiv w:val="1"/>
      <w:marLeft w:val="0"/>
      <w:marRight w:val="0"/>
      <w:marTop w:val="0"/>
      <w:marBottom w:val="0"/>
      <w:divBdr>
        <w:top w:val="none" w:sz="0" w:space="0" w:color="auto"/>
        <w:left w:val="none" w:sz="0" w:space="0" w:color="auto"/>
        <w:bottom w:val="none" w:sz="0" w:space="0" w:color="auto"/>
        <w:right w:val="none" w:sz="0" w:space="0" w:color="auto"/>
      </w:divBdr>
    </w:div>
    <w:div w:id="1537084363">
      <w:bodyDiv w:val="1"/>
      <w:marLeft w:val="0"/>
      <w:marRight w:val="0"/>
      <w:marTop w:val="0"/>
      <w:marBottom w:val="0"/>
      <w:divBdr>
        <w:top w:val="none" w:sz="0" w:space="0" w:color="auto"/>
        <w:left w:val="none" w:sz="0" w:space="0" w:color="auto"/>
        <w:bottom w:val="none" w:sz="0" w:space="0" w:color="auto"/>
        <w:right w:val="none" w:sz="0" w:space="0" w:color="auto"/>
      </w:divBdr>
    </w:div>
    <w:div w:id="1725249684">
      <w:bodyDiv w:val="1"/>
      <w:marLeft w:val="0"/>
      <w:marRight w:val="0"/>
      <w:marTop w:val="0"/>
      <w:marBottom w:val="0"/>
      <w:divBdr>
        <w:top w:val="none" w:sz="0" w:space="0" w:color="auto"/>
        <w:left w:val="none" w:sz="0" w:space="0" w:color="auto"/>
        <w:bottom w:val="none" w:sz="0" w:space="0" w:color="auto"/>
        <w:right w:val="none" w:sz="0" w:space="0" w:color="auto"/>
      </w:divBdr>
    </w:div>
    <w:div w:id="1739668962">
      <w:bodyDiv w:val="1"/>
      <w:marLeft w:val="0"/>
      <w:marRight w:val="0"/>
      <w:marTop w:val="0"/>
      <w:marBottom w:val="0"/>
      <w:divBdr>
        <w:top w:val="none" w:sz="0" w:space="0" w:color="auto"/>
        <w:left w:val="none" w:sz="0" w:space="0" w:color="auto"/>
        <w:bottom w:val="none" w:sz="0" w:space="0" w:color="auto"/>
        <w:right w:val="none" w:sz="0" w:space="0" w:color="auto"/>
      </w:divBdr>
    </w:div>
    <w:div w:id="1851068084">
      <w:bodyDiv w:val="1"/>
      <w:marLeft w:val="0"/>
      <w:marRight w:val="0"/>
      <w:marTop w:val="0"/>
      <w:marBottom w:val="0"/>
      <w:divBdr>
        <w:top w:val="none" w:sz="0" w:space="0" w:color="auto"/>
        <w:left w:val="none" w:sz="0" w:space="0" w:color="auto"/>
        <w:bottom w:val="none" w:sz="0" w:space="0" w:color="auto"/>
        <w:right w:val="none" w:sz="0" w:space="0" w:color="auto"/>
      </w:divBdr>
    </w:div>
    <w:div w:id="1946306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8</Pages>
  <Words>3712</Words>
  <Characters>22273</Characters>
  <Application>Microsoft Office Word</Application>
  <DocSecurity>0</DocSecurity>
  <Lines>185</Lines>
  <Paragraphs>51</Paragraphs>
  <ScaleCrop>false</ScaleCrop>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Luczkowska</dc:creator>
  <cp:lastModifiedBy>Mariola Brzezińska</cp:lastModifiedBy>
  <cp:revision>9</cp:revision>
  <cp:lastPrinted>2025-03-13T07:41:00Z</cp:lastPrinted>
  <dcterms:created xsi:type="dcterms:W3CDTF">2020-02-28T09:44:00Z</dcterms:created>
  <dcterms:modified xsi:type="dcterms:W3CDTF">2026-03-04T12:25:00Z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