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126" w:type="dxa"/>
        <w:jc w:val="left"/>
        <w:tblInd w:w="0" w:type="dxa"/>
        <w:tblCellMar>
          <w:top w:w="0" w:type="dxa"/>
          <w:left w:w="108" w:type="dxa"/>
          <w:bottom w:w="0" w:type="dxa"/>
          <w:right w:w="108" w:type="dxa"/>
        </w:tblCellMar>
        <w:tblLook w:firstRow="1" w:noVBand="1" w:lastRow="0" w:firstColumn="1" w:lastColumn="0" w:noHBand="0" w:val="04a0"/>
      </w:tblPr>
      <w:tblGrid>
        <w:gridCol w:w="615"/>
        <w:gridCol w:w="14510"/>
      </w:tblGrid>
      <w:tr>
        <w:trPr/>
        <w:tc>
          <w:tcPr>
            <w:tcW w:w="615"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510"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615"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51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5"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510"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615"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1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Zespół Placówek NR 1</w:t>
            </w:r>
          </w:p>
        </w:tc>
      </w:tr>
      <w:tr>
        <w:trPr/>
        <w:tc>
          <w:tcPr>
            <w:tcW w:w="615"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510"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615"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1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Ul.Mechaników 1   87-800 Włocławek</w:t>
            </w:r>
          </w:p>
        </w:tc>
      </w:tr>
      <w:tr>
        <w:trPr/>
        <w:tc>
          <w:tcPr>
            <w:tcW w:w="615"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510"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615"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1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Mechaników 1 87-800 Włocławek</w:t>
            </w:r>
          </w:p>
        </w:tc>
      </w:tr>
      <w:tr>
        <w:trPr/>
        <w:tc>
          <w:tcPr>
            <w:tcW w:w="615"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510"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615"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10" w:type="dxa"/>
            <w:tcBorders/>
            <w:shd w:fill="auto" w:val="clear"/>
          </w:tcPr>
          <w:p>
            <w:pPr>
              <w:pStyle w:val="Normal"/>
              <w:spacing w:lineRule="auto" w:line="240" w:before="0" w:after="0"/>
              <w:rPr>
                <w:b/>
                <w:b/>
                <w:sz w:val="24"/>
                <w:szCs w:val="24"/>
              </w:rPr>
            </w:pPr>
            <w:r>
              <w:rPr>
                <w:rFonts w:cs="TimesNewRomanPSMT" w:ascii="Arial" w:hAnsi="Arial"/>
                <w:color w:val="auto"/>
                <w:sz w:val="24"/>
                <w:szCs w:val="24"/>
              </w:rPr>
              <w:t xml:space="preserve">  </w:t>
            </w:r>
            <w:r>
              <w:rPr>
                <w:rFonts w:cs="TimesNewRomanPSMT" w:ascii="Arial" w:hAnsi="Arial"/>
                <w:color w:val="auto"/>
                <w:sz w:val="24"/>
                <w:szCs w:val="24"/>
              </w:rPr>
              <w:t xml:space="preserve">Działalnoścć wspomagajaca edukacje </w:t>
            </w:r>
          </w:p>
        </w:tc>
      </w:tr>
      <w:tr>
        <w:trPr/>
        <w:tc>
          <w:tcPr>
            <w:tcW w:w="615"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510"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615"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10"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2024 -31 grudnia 2024</w:t>
            </w:r>
          </w:p>
        </w:tc>
      </w:tr>
      <w:tr>
        <w:trPr/>
        <w:tc>
          <w:tcPr>
            <w:tcW w:w="615"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510"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615"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510"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615"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10"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I</w:t>
            </w:r>
            <w:r>
              <w:rPr>
                <w:rFonts w:cs="Calibri" w:ascii="Arial" w:hAnsi="Arial" w:cstheme="minorHAnsi"/>
                <w:color w:val="auto"/>
                <w:sz w:val="24"/>
                <w:szCs w:val="24"/>
              </w:rPr>
              <w:t>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w:t>
            </w:r>
            <w:r>
              <w:rPr>
                <w:rFonts w:cs="Calibri" w:ascii="Arial" w:hAnsi="Arial" w:cstheme="minorHAnsi"/>
                <w:color w:val="auto"/>
                <w:sz w:val="24"/>
                <w:szCs w:val="24"/>
              </w:rPr>
              <w:t>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Zasady amortyzacji (umorzenia) środków trwałych i wartości niematerialnych i prawnych.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Normal"/>
              <w:numPr>
                <w:ilvl w:val="0"/>
                <w:numId w:val="0"/>
              </w:numPr>
              <w:spacing w:lineRule="auto" w:line="240" w:before="0" w:after="0"/>
              <w:ind w:left="720" w:hanging="0"/>
              <w:jc w:val="both"/>
              <w:rPr>
                <w:rFonts w:ascii="Arial Narrow" w:hAnsi="Arial Narrow" w:cs="Calibri" w:cstheme="minorHAnsi"/>
              </w:rPr>
            </w:pPr>
            <w:r>
              <w:rPr>
                <w:rFonts w:eastAsia="Times New Roman" w:cs="Segoe UI" w:ascii="Arial" w:hAnsi="Arial"/>
                <w:color w:val="auto"/>
                <w:sz w:val="24"/>
                <w:szCs w:val="24"/>
                <w:lang w:eastAsia="pl-PL"/>
              </w:rPr>
              <w:t>1. 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r>
              <w:rPr>
                <w:rFonts w:cs="Calibri" w:ascii="Arial" w:hAnsi="Arial" w:cstheme="minorHAnsi"/>
                <w:color w:val="auto"/>
                <w:sz w:val="24"/>
                <w:szCs w:val="24"/>
              </w:rPr>
              <w:t xml:space="preserve"> </w:t>
            </w:r>
            <w:r>
              <w:rPr>
                <w:rFonts w:eastAsia="Times New Roman" w:cs="Segoe UI" w:ascii="Arial" w:hAnsi="Arial"/>
                <w:color w:val="auto"/>
                <w:sz w:val="24"/>
                <w:szCs w:val="24"/>
                <w:lang w:eastAsia="pl-PL"/>
              </w:rPr>
              <w:t>W celu realizacji MPP (Mechanizm Podzielonej Płatności)</w:t>
            </w:r>
            <w:r>
              <w:rPr>
                <w:rFonts w:eastAsia="Times New Roman" w:cs="Segoe UI" w:ascii="Arial" w:hAnsi="Arial"/>
                <w:b/>
                <w:bCs/>
                <w:color w:val="auto"/>
                <w:sz w:val="24"/>
                <w:szCs w:val="24"/>
                <w:lang w:eastAsia="pl-PL"/>
              </w:rPr>
              <w:t xml:space="preserve">  </w:t>
            </w:r>
            <w:r>
              <w:rPr>
                <w:rFonts w:eastAsia="Times New Roman" w:cs="Segoe UI" w:ascii="Arial" w:hAnsi="Arial"/>
                <w:color w:val="auto"/>
                <w:sz w:val="24"/>
                <w:szCs w:val="24"/>
                <w:lang w:eastAsia="pl-PL"/>
              </w:rPr>
              <w:t xml:space="preserve">wydzielono w księgach rachunkowych dodatkowe konta analityczne " VAT".   </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Sprawozdawczość finansowa:</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615"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510"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615"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510"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615"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51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5"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510"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numPr>
                <w:ilvl w:val="0"/>
                <w:numId w:val="21"/>
              </w:numPr>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bl>
            <w:tblPr>
              <w:tblW w:w="14288" w:type="dxa"/>
              <w:jc w:val="left"/>
              <w:tblInd w:w="0" w:type="dxa"/>
              <w:tblCellMar>
                <w:top w:w="0" w:type="dxa"/>
                <w:left w:w="70" w:type="dxa"/>
                <w:bottom w:w="0" w:type="dxa"/>
                <w:right w:w="70" w:type="dxa"/>
              </w:tblCellMar>
              <w:tblLook w:firstRow="1" w:noVBand="1" w:lastRow="0" w:firstColumn="1" w:lastColumn="0" w:noHBand="0" w:val="04a0"/>
            </w:tblPr>
            <w:tblGrid>
              <w:gridCol w:w="298"/>
              <w:gridCol w:w="996"/>
              <w:gridCol w:w="893"/>
              <w:gridCol w:w="557"/>
              <w:gridCol w:w="657"/>
              <w:gridCol w:w="568"/>
              <w:gridCol w:w="3"/>
              <w:gridCol w:w="760"/>
              <w:gridCol w:w="3"/>
              <w:gridCol w:w="471"/>
              <w:gridCol w:w="662"/>
              <w:gridCol w:w="568"/>
              <w:gridCol w:w="6"/>
              <w:gridCol w:w="790"/>
              <w:gridCol w:w="6"/>
              <w:gridCol w:w="889"/>
              <w:gridCol w:w="5"/>
              <w:gridCol w:w="793"/>
              <w:gridCol w:w="6"/>
              <w:gridCol w:w="533"/>
              <w:gridCol w:w="667"/>
              <w:gridCol w:w="537"/>
              <w:gridCol w:w="6"/>
              <w:gridCol w:w="744"/>
              <w:gridCol w:w="6"/>
              <w:gridCol w:w="412"/>
              <w:gridCol w:w="5"/>
              <w:gridCol w:w="786"/>
              <w:gridCol w:w="6"/>
              <w:gridCol w:w="882"/>
              <w:gridCol w:w="769"/>
            </w:tblGrid>
            <w:tr>
              <w:trPr>
                <w:trHeight w:val="330" w:hRule="atLeast"/>
              </w:trPr>
              <w:tc>
                <w:tcPr>
                  <w:tcW w:w="14284" w:type="dxa"/>
                  <w:gridSpan w:val="31"/>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u w:val="single"/>
                      <w:lang w:eastAsia="pl-PL"/>
                    </w:rPr>
                  </w:pPr>
                  <w:r>
                    <w:rPr>
                      <w:rFonts w:eastAsia="Times New Roman" w:cs="Calibri" w:ascii="Arial" w:hAnsi="Arial"/>
                      <w:b/>
                      <w:bCs/>
                      <w:color w:val="auto"/>
                      <w:sz w:val="24"/>
                      <w:szCs w:val="24"/>
                      <w:u w:val="single"/>
                      <w:lang w:eastAsia="pl-PL"/>
                    </w:rPr>
                    <w:t xml:space="preserve">Główne składniki aktywów trwałych - </w:t>
                  </w:r>
                </w:p>
              </w:tc>
            </w:tr>
            <w:tr>
              <w:trPr>
                <w:trHeight w:val="330" w:hRule="atLeast"/>
              </w:trPr>
              <w:tc>
                <w:tcPr>
                  <w:tcW w:w="29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99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89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55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65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56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76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47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66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56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79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89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79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53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66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53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75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41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79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88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c>
                <w:tcPr>
                  <w:tcW w:w="76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 </w:t>
                  </w:r>
                </w:p>
              </w:tc>
            </w:tr>
            <w:tr>
              <w:trPr>
                <w:trHeight w:val="510" w:hRule="atLeast"/>
              </w:trPr>
              <w:tc>
                <w:tcPr>
                  <w:tcW w:w="2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Lp.</w:t>
                  </w:r>
                </w:p>
              </w:tc>
              <w:tc>
                <w:tcPr>
                  <w:tcW w:w="99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Nazwa grupy rodzajowej składnika aktywów trwałych</w:t>
                  </w:r>
                </w:p>
              </w:tc>
              <w:tc>
                <w:tcPr>
                  <w:tcW w:w="893"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poczatek roku obrotowego</w:t>
                  </w:r>
                </w:p>
              </w:tc>
              <w:tc>
                <w:tcPr>
                  <w:tcW w:w="1785"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Zwiększenie wartości poczatkowej</w:t>
                  </w:r>
                </w:p>
              </w:tc>
              <w:tc>
                <w:tcPr>
                  <w:tcW w:w="763"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wartości początkowej (4+5+6)</w:t>
                  </w:r>
                </w:p>
              </w:tc>
              <w:tc>
                <w:tcPr>
                  <w:tcW w:w="1707"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wartości początkowej</w:t>
                  </w:r>
                </w:p>
              </w:tc>
              <w:tc>
                <w:tcPr>
                  <w:tcW w:w="796"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zmniejszenie wartości poczatkowej                                                                                                                              (8+9+10)</w:t>
                  </w:r>
                </w:p>
              </w:tc>
              <w:tc>
                <w:tcPr>
                  <w:tcW w:w="894"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koniec roku obrotowego                                                                                                                                           (3+7-11)</w:t>
                  </w:r>
                </w:p>
              </w:tc>
              <w:tc>
                <w:tcPr>
                  <w:tcW w:w="799"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początek roku obrotowego</w:t>
                  </w:r>
                </w:p>
              </w:tc>
              <w:tc>
                <w:tcPr>
                  <w:tcW w:w="1743"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Zwiększenia w ciągu roku obrotowego</w:t>
                  </w:r>
                </w:p>
              </w:tc>
              <w:tc>
                <w:tcPr>
                  <w:tcW w:w="750"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umorzenia (14+15+16)</w:t>
                  </w:r>
                </w:p>
              </w:tc>
              <w:tc>
                <w:tcPr>
                  <w:tcW w:w="417"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umorzenia</w:t>
                  </w:r>
                </w:p>
              </w:tc>
              <w:tc>
                <w:tcPr>
                  <w:tcW w:w="79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koniec roku obrotowego                                                                                                 (13+17-18)</w:t>
                  </w:r>
                </w:p>
              </w:tc>
              <w:tc>
                <w:tcPr>
                  <w:tcW w:w="1651"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netto składników aktywów</w:t>
                  </w:r>
                </w:p>
              </w:tc>
            </w:tr>
            <w:tr>
              <w:trPr>
                <w:trHeight w:val="1695" w:hRule="atLeast"/>
              </w:trPr>
              <w:tc>
                <w:tcPr>
                  <w:tcW w:w="298"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6"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93"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57"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657"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Przychody</w:t>
                  </w:r>
                </w:p>
              </w:tc>
              <w:tc>
                <w:tcPr>
                  <w:tcW w:w="568"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Przemieszczenie</w:t>
                  </w:r>
                </w:p>
              </w:tc>
              <w:tc>
                <w:tcPr>
                  <w:tcW w:w="763"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74" w:type="dxa"/>
                  <w:gridSpan w:val="2"/>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Zbycie</w:t>
                  </w:r>
                </w:p>
              </w:tc>
              <w:tc>
                <w:tcPr>
                  <w:tcW w:w="6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Likwidacja</w:t>
                  </w:r>
                </w:p>
              </w:tc>
              <w:tc>
                <w:tcPr>
                  <w:tcW w:w="568"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796"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95"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98"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39"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667"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Amortyzacja za rok obrotowy</w:t>
                  </w:r>
                </w:p>
              </w:tc>
              <w:tc>
                <w:tcPr>
                  <w:tcW w:w="537"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750"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18"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9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poczatek roku obrotowego                                                                                                                                                                           (3-13)</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w:t>
                  </w:r>
                </w:p>
              </w:tc>
              <w:tc>
                <w:tcPr>
                  <w:tcW w:w="99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3</w:t>
                  </w:r>
                </w:p>
              </w:tc>
              <w:tc>
                <w:tcPr>
                  <w:tcW w:w="55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4</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5</w:t>
                  </w:r>
                </w:p>
              </w:tc>
              <w:tc>
                <w:tcPr>
                  <w:tcW w:w="56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6</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7</w:t>
                  </w:r>
                </w:p>
              </w:tc>
              <w:tc>
                <w:tcPr>
                  <w:tcW w:w="474"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8</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9</w:t>
                  </w:r>
                </w:p>
              </w:tc>
              <w:tc>
                <w:tcPr>
                  <w:tcW w:w="56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11</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12</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13</w:t>
                  </w:r>
                </w:p>
              </w:tc>
              <w:tc>
                <w:tcPr>
                  <w:tcW w:w="539"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14</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15</w:t>
                  </w:r>
                </w:p>
              </w:tc>
              <w:tc>
                <w:tcPr>
                  <w:tcW w:w="53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16</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17</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18</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19</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20</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21</w:t>
                  </w:r>
                </w:p>
              </w:tc>
            </w:tr>
            <w:tr>
              <w:trPr>
                <w:trHeight w:val="109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w:t>
                  </w:r>
                </w:p>
              </w:tc>
              <w:tc>
                <w:tcPr>
                  <w:tcW w:w="996"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Wartości niematerialne                          i prawne</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6 457,09</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4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6 457,09</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6 457,09</w:t>
                  </w:r>
                </w:p>
              </w:tc>
              <w:tc>
                <w:tcPr>
                  <w:tcW w:w="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5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6 457,09</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r>
            <w:tr>
              <w:trPr>
                <w:trHeight w:val="79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2.</w:t>
                  </w:r>
                </w:p>
              </w:tc>
              <w:tc>
                <w:tcPr>
                  <w:tcW w:w="996"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Środki trwałe</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1 868 595,97</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71 659,33</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71 659,33</w:t>
                  </w:r>
                </w:p>
              </w:tc>
              <w:tc>
                <w:tcPr>
                  <w:tcW w:w="4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1 940 255,30</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949 413,12</w:t>
                  </w:r>
                </w:p>
              </w:tc>
              <w:tc>
                <w:tcPr>
                  <w:tcW w:w="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30 531,86</w:t>
                  </w:r>
                </w:p>
              </w:tc>
              <w:tc>
                <w:tcPr>
                  <w:tcW w:w="5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30 531,86</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979 944,98</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919 182,85</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960 310,32</w:t>
                  </w:r>
                </w:p>
              </w:tc>
            </w:tr>
            <w:tr>
              <w:trPr>
                <w:trHeight w:val="70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w:t>
                  </w:r>
                </w:p>
              </w:tc>
              <w:tc>
                <w:tcPr>
                  <w:tcW w:w="996"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grunty</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439 200,00</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439 200,00</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439 200,00</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439 200,00</w:t>
                  </w:r>
                </w:p>
              </w:tc>
            </w:tr>
            <w:tr>
              <w:trPr>
                <w:trHeight w:val="109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w:t>
                  </w:r>
                </w:p>
              </w:tc>
              <w:tc>
                <w:tcPr>
                  <w:tcW w:w="996"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budynki, lokale i obiekty inżynierii lądowej i wodnej</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1 277 184,70</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16 039,33</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16 039,33</w:t>
                  </w:r>
                </w:p>
              </w:tc>
              <w:tc>
                <w:tcPr>
                  <w:tcW w:w="4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1 293 224,03</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808 414,12</w:t>
                  </w:r>
                </w:p>
              </w:tc>
              <w:tc>
                <w:tcPr>
                  <w:tcW w:w="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19 298,76</w:t>
                  </w:r>
                </w:p>
              </w:tc>
              <w:tc>
                <w:tcPr>
                  <w:tcW w:w="5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19 298,76</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827 712,88</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468 770,58</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465 511,15</w:t>
                  </w:r>
                </w:p>
              </w:tc>
            </w:tr>
            <w:tr>
              <w:trPr>
                <w:trHeight w:val="102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w:t>
                  </w:r>
                </w:p>
              </w:tc>
              <w:tc>
                <w:tcPr>
                  <w:tcW w:w="996"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urządzenia techniczne i maszyny</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131 370,27</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36 170,00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36 170,00</w:t>
                  </w:r>
                </w:p>
              </w:tc>
              <w:tc>
                <w:tcPr>
                  <w:tcW w:w="4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167 540,27</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120 158,00</w:t>
                  </w:r>
                </w:p>
              </w:tc>
              <w:tc>
                <w:tcPr>
                  <w:tcW w:w="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7 991,43</w:t>
                  </w:r>
                </w:p>
              </w:tc>
              <w:tc>
                <w:tcPr>
                  <w:tcW w:w="5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7 991,43</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128 149,43</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11 212,27</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39 390,84</w:t>
                  </w:r>
                </w:p>
              </w:tc>
            </w:tr>
            <w:tr>
              <w:trPr>
                <w:trHeight w:val="64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w:t>
                  </w:r>
                </w:p>
              </w:tc>
              <w:tc>
                <w:tcPr>
                  <w:tcW w:w="996"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środki transportu</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r>
            <w:tr>
              <w:trPr>
                <w:trHeight w:val="75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w:t>
                  </w:r>
                </w:p>
              </w:tc>
              <w:tc>
                <w:tcPr>
                  <w:tcW w:w="996"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 środki trwałe</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20 841,00</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19 450,00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19 450,00</w:t>
                  </w:r>
                </w:p>
              </w:tc>
              <w:tc>
                <w:tcPr>
                  <w:tcW w:w="4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40 291,00</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20 841,00</w:t>
                  </w:r>
                </w:p>
              </w:tc>
              <w:tc>
                <w:tcPr>
                  <w:tcW w:w="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3 241,67</w:t>
                  </w:r>
                </w:p>
              </w:tc>
              <w:tc>
                <w:tcPr>
                  <w:tcW w:w="5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3 241,67</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24 082,67</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16 208,33</w:t>
                  </w:r>
                </w:p>
              </w:tc>
            </w:tr>
            <w:tr>
              <w:trPr>
                <w:trHeight w:val="63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4"/>
                      <w:szCs w:val="14"/>
                      <w:lang w:eastAsia="pl-PL"/>
                    </w:rPr>
                  </w:pPr>
                  <w:r>
                    <w:rPr>
                      <w:rFonts w:eastAsia="Times New Roman" w:cs="Calibri" w:ascii="Arial" w:hAnsi="Arial"/>
                      <w:b/>
                      <w:bCs/>
                      <w:i/>
                      <w:iCs/>
                      <w:color w:val="auto"/>
                      <w:sz w:val="24"/>
                      <w:szCs w:val="24"/>
                      <w:lang w:eastAsia="pl-PL"/>
                    </w:rPr>
                    <w:t> </w:t>
                  </w:r>
                </w:p>
              </w:tc>
              <w:tc>
                <w:tcPr>
                  <w:tcW w:w="996"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 </w:t>
                  </w:r>
                </w:p>
              </w:tc>
              <w:tc>
                <w:tcPr>
                  <w:tcW w:w="8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1 875 053,06</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71 659,33</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71 659,33</w:t>
                  </w:r>
                </w:p>
              </w:tc>
              <w:tc>
                <w:tcPr>
                  <w:tcW w:w="4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56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1 946 712,39</w:t>
                  </w:r>
                </w:p>
              </w:tc>
              <w:tc>
                <w:tcPr>
                  <w:tcW w:w="79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955 870,21</w:t>
                  </w:r>
                </w:p>
              </w:tc>
              <w:tc>
                <w:tcPr>
                  <w:tcW w:w="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30 531,86</w:t>
                  </w:r>
                </w:p>
              </w:tc>
              <w:tc>
                <w:tcPr>
                  <w:tcW w:w="5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30 531,86</w:t>
                  </w:r>
                </w:p>
              </w:tc>
              <w:tc>
                <w:tcPr>
                  <w:tcW w:w="4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986 402,07</w:t>
                  </w:r>
                </w:p>
              </w:tc>
              <w:tc>
                <w:tcPr>
                  <w:tcW w:w="88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919 182,85</w:t>
                  </w:r>
                </w:p>
              </w:tc>
              <w:tc>
                <w:tcPr>
                  <w:tcW w:w="7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960 310,32</w:t>
                  </w:r>
                </w:p>
              </w:tc>
            </w:tr>
          </w:tbl>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88 703,55 zł</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inne informacje</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Umorzenie pozostałych środków trwałych 694 364,68 zł</w:t>
            </w:r>
          </w:p>
          <w:p>
            <w:pPr>
              <w:pStyle w:val="Normal"/>
              <w:spacing w:lineRule="auto" w:line="240" w:before="0" w:after="0"/>
              <w:rPr>
                <w:b/>
                <w:b/>
                <w:sz w:val="24"/>
                <w:szCs w:val="24"/>
              </w:rPr>
            </w:pPr>
            <w:r>
              <w:rPr>
                <w:rFonts w:ascii="Arial" w:hAnsi="Arial"/>
                <w:color w:val="auto"/>
                <w:sz w:val="24"/>
                <w:szCs w:val="24"/>
              </w:rPr>
              <w:t>Umorzenie zbiorów bibliotecznych   46 173,27 zł</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sz w:val="20"/>
                <w:szCs w:val="20"/>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p>
            <w:pPr>
              <w:pStyle w:val="Normal"/>
              <w:widowControl w:val="false"/>
              <w:spacing w:lineRule="auto" w:line="249" w:before="47" w:after="160"/>
              <w:ind w:right="40" w:hanging="0"/>
              <w:rPr>
                <w:sz w:val="24"/>
                <w:szCs w:val="24"/>
              </w:rPr>
            </w:pPr>
            <w:r>
              <w:rPr>
                <w:rFonts w:ascii="Arial" w:hAnsi="Arial"/>
                <w:color w:val="auto"/>
                <w:sz w:val="24"/>
                <w:szCs w:val="24"/>
              </w:rPr>
              <w:t>45 226,64 zł- Fundusz Pomocy Ukrainie</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6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2025-03-01</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1140"/>
        </w:tabs>
        <w:ind w:left="1140" w:hanging="360"/>
      </w:pPr>
      <w:rPr>
        <w:rFonts w:ascii="Symbol" w:hAnsi="Symbol" w:cs="Symbol" w:hint="default"/>
        <w:rFonts w:cs="OpenSymbol"/>
      </w:rPr>
    </w:lvl>
    <w:lvl w:ilvl="1">
      <w:start w:val="1"/>
      <w:numFmt w:val="bullet"/>
      <w:lvlText w:val="◦"/>
      <w:lvlJc w:val="left"/>
      <w:pPr>
        <w:tabs>
          <w:tab w:val="num" w:pos="1500"/>
        </w:tabs>
        <w:ind w:left="1500" w:hanging="360"/>
      </w:pPr>
      <w:rPr>
        <w:rFonts w:ascii="OpenSymbol" w:hAnsi="OpenSymbol" w:cs="OpenSymbol" w:hint="default"/>
        <w:rFonts w:cs="OpenSymbol"/>
      </w:rPr>
    </w:lvl>
    <w:lvl w:ilvl="2">
      <w:start w:val="1"/>
      <w:numFmt w:val="bullet"/>
      <w:lvlText w:val="▪"/>
      <w:lvlJc w:val="left"/>
      <w:pPr>
        <w:tabs>
          <w:tab w:val="num" w:pos="1860"/>
        </w:tabs>
        <w:ind w:left="1860" w:hanging="360"/>
      </w:pPr>
      <w:rPr>
        <w:rFonts w:ascii="OpenSymbol" w:hAnsi="OpenSymbol" w:cs="OpenSymbol" w:hint="default"/>
        <w:rFonts w:cs="OpenSymbol"/>
      </w:rPr>
    </w:lvl>
    <w:lvl w:ilvl="3">
      <w:start w:val="1"/>
      <w:numFmt w:val="bullet"/>
      <w:lvlText w:val=""/>
      <w:lvlJc w:val="left"/>
      <w:pPr>
        <w:tabs>
          <w:tab w:val="num" w:pos="2220"/>
        </w:tabs>
        <w:ind w:left="2220" w:hanging="360"/>
      </w:pPr>
      <w:rPr>
        <w:rFonts w:ascii="Symbol" w:hAnsi="Symbol" w:cs="Symbol" w:hint="default"/>
        <w:rFonts w:cs="OpenSymbol"/>
      </w:rPr>
    </w:lvl>
    <w:lvl w:ilvl="4">
      <w:start w:val="1"/>
      <w:numFmt w:val="bullet"/>
      <w:lvlText w:val="◦"/>
      <w:lvlJc w:val="left"/>
      <w:pPr>
        <w:tabs>
          <w:tab w:val="num" w:pos="2580"/>
        </w:tabs>
        <w:ind w:left="2580" w:hanging="360"/>
      </w:pPr>
      <w:rPr>
        <w:rFonts w:ascii="OpenSymbol" w:hAnsi="OpenSymbol" w:cs="OpenSymbol" w:hint="default"/>
        <w:rFonts w:cs="OpenSymbol"/>
      </w:rPr>
    </w:lvl>
    <w:lvl w:ilvl="5">
      <w:start w:val="1"/>
      <w:numFmt w:val="bullet"/>
      <w:lvlText w:val="▪"/>
      <w:lvlJc w:val="left"/>
      <w:pPr>
        <w:tabs>
          <w:tab w:val="num" w:pos="2940"/>
        </w:tabs>
        <w:ind w:left="2940" w:hanging="360"/>
      </w:pPr>
      <w:rPr>
        <w:rFonts w:ascii="OpenSymbol" w:hAnsi="OpenSymbol" w:cs="OpenSymbol" w:hint="default"/>
        <w:rFonts w:cs="OpenSymbol"/>
      </w:rPr>
    </w:lvl>
    <w:lvl w:ilvl="6">
      <w:start w:val="1"/>
      <w:numFmt w:val="bullet"/>
      <w:lvlText w:val=""/>
      <w:lvlJc w:val="left"/>
      <w:pPr>
        <w:tabs>
          <w:tab w:val="num" w:pos="3300"/>
        </w:tabs>
        <w:ind w:left="3300" w:hanging="360"/>
      </w:pPr>
      <w:rPr>
        <w:rFonts w:ascii="Symbol" w:hAnsi="Symbol" w:cs="Symbol" w:hint="default"/>
        <w:rFonts w:cs="OpenSymbol"/>
      </w:rPr>
    </w:lvl>
    <w:lvl w:ilvl="7">
      <w:start w:val="1"/>
      <w:numFmt w:val="bullet"/>
      <w:lvlText w:val="◦"/>
      <w:lvlJc w:val="left"/>
      <w:pPr>
        <w:tabs>
          <w:tab w:val="num" w:pos="3660"/>
        </w:tabs>
        <w:ind w:left="3660" w:hanging="360"/>
      </w:pPr>
      <w:rPr>
        <w:rFonts w:ascii="OpenSymbol" w:hAnsi="OpenSymbol" w:cs="OpenSymbol" w:hint="default"/>
        <w:rFonts w:cs="OpenSymbol"/>
      </w:rPr>
    </w:lvl>
    <w:lvl w:ilvl="8">
      <w:start w:val="1"/>
      <w:numFmt w:val="bullet"/>
      <w:lvlText w:val="▪"/>
      <w:lvlJc w:val="left"/>
      <w:pPr>
        <w:tabs>
          <w:tab w:val="num" w:pos="4020"/>
        </w:tabs>
        <w:ind w:left="402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7AB79-1276-4BFD-AA8D-C9736616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LibreOffice/6.2.3.2$Windows_x86 LibreOffice_project/aecc05fe267cc68dde00352a451aa867b3b546ac</Application>
  <Pages>11</Pages>
  <Words>3335</Words>
  <Characters>21499</Characters>
  <CharactersWithSpaces>25189</CharactersWithSpaces>
  <Paragraphs>435</Paragraphs>
  <Company>Zespół Szkół Muzycznych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2025-02-25T13:50:00Z</dcterms:created>
  <dc:creator>Marietta Ulatowska</dc:creator>
  <dc:description/>
  <cp:keywords>Informacja dodatkowa</cp:keywords>
  <dc:language>pl-PL</dc:language>
  <cp:lastModifiedBy/>
  <cp:lastPrinted>2021-04-20T11:59:00Z</cp:lastPrinted>
  <dcterms:modified xsi:type="dcterms:W3CDTF">2025-05-07T11:32:40Z</dcterms:modified>
  <cp:revision>5</cp:revision>
  <dc:subject/>
  <dc:title>ZP 1 INFORMACJA DODATKOWA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Zespół Szkół Muzycznych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