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left="4956" w:firstLine="708"/>
        <w:rPr>
          <w:rFonts w:ascii="Arial" w:hAnsi="Arial"/>
          <w:color w:val="auto"/>
          <w:sz w:val="24"/>
          <w:szCs w:val="24"/>
        </w:rPr>
      </w:pPr>
      <w:r>
        <w:rPr>
          <w:rFonts w:ascii="Arial" w:hAnsi="Arial"/>
          <w:b/>
          <w:color w:val="auto"/>
          <w:sz w:val="24"/>
          <w:szCs w:val="24"/>
        </w:rPr>
        <w:t>INFORMACJA DODATKOWA</w:t>
      </w:r>
    </w:p>
    <w:tbl>
      <w:tblPr>
        <w:tblW w:w="15554" w:type="dxa"/>
        <w:jc w:val="left"/>
        <w:tblInd w:w="-108" w:type="dxa"/>
        <w:tblCellMar>
          <w:top w:w="0" w:type="dxa"/>
          <w:left w:w="108" w:type="dxa"/>
          <w:bottom w:w="0" w:type="dxa"/>
          <w:right w:w="108" w:type="dxa"/>
        </w:tblCellMar>
        <w:tblLook w:firstRow="0" w:noVBand="0" w:lastRow="0" w:firstColumn="0" w:lastColumn="0" w:noHBand="0" w:val="0000"/>
      </w:tblPr>
      <w:tblGrid>
        <w:gridCol w:w="528"/>
        <w:gridCol w:w="15025"/>
      </w:tblGrid>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I.</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bCs/>
                <w:color w:val="auto"/>
                <w:sz w:val="24"/>
                <w:szCs w:val="24"/>
              </w:rPr>
              <w:t>Wprowadzenie do sprawozdania finansowego, obejmuje w szczególności:</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1.</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1.1</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nazwę jednostki</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r>
          </w:p>
          <w:p>
            <w:pPr>
              <w:pStyle w:val="Standard"/>
              <w:spacing w:before="0" w:after="0"/>
              <w:rPr>
                <w:rFonts w:ascii="Arial" w:hAnsi="Arial"/>
                <w:color w:val="auto"/>
                <w:sz w:val="24"/>
                <w:szCs w:val="24"/>
              </w:rPr>
            </w:pPr>
            <w:r>
              <w:rPr>
                <w:rFonts w:ascii="Arial" w:hAnsi="Arial"/>
                <w:color w:val="auto"/>
                <w:sz w:val="24"/>
                <w:szCs w:val="24"/>
              </w:rPr>
              <w:t>Poradnia Psychologiczno-Pedagogiczna</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1.2</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siedzibę jednostki</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p>
            <w:pPr>
              <w:pStyle w:val="Standard"/>
              <w:spacing w:before="0" w:after="0"/>
              <w:rPr>
                <w:rFonts w:ascii="Arial" w:hAnsi="Arial"/>
                <w:color w:val="auto"/>
                <w:sz w:val="24"/>
                <w:szCs w:val="24"/>
              </w:rPr>
            </w:pPr>
            <w:r>
              <w:rPr>
                <w:rFonts w:ascii="Arial" w:hAnsi="Arial"/>
                <w:color w:val="auto"/>
                <w:sz w:val="24"/>
                <w:szCs w:val="24"/>
              </w:rPr>
              <w:t>ul. Wojska Polskiego 27,   87-800 Włocławek</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1.3</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adres jednostki</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p>
            <w:pPr>
              <w:pStyle w:val="Standard"/>
              <w:spacing w:before="0" w:after="0"/>
              <w:rPr>
                <w:rFonts w:ascii="Arial" w:hAnsi="Arial"/>
                <w:color w:val="auto"/>
                <w:sz w:val="24"/>
                <w:szCs w:val="24"/>
              </w:rPr>
            </w:pPr>
            <w:r>
              <w:rPr>
                <w:rFonts w:ascii="Arial" w:hAnsi="Arial"/>
                <w:color w:val="auto"/>
                <w:sz w:val="24"/>
                <w:szCs w:val="24"/>
              </w:rPr>
              <w:t>ul. Wojska Polskiego 27,  87-800 Włocławek</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1.4</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podstawowy przedmiot działalności jednostki</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cs="TimesNewRomanPSMT" w:ascii="Arial" w:hAnsi="Arial"/>
                <w:color w:val="auto"/>
                <w:sz w:val="24"/>
                <w:szCs w:val="24"/>
              </w:rPr>
              <w:t>Podstawę prawną działalności Poradni Psychologiczno-Pedagogicznej stanowi ustawa z dnia 14 grudnia 2016 r. Prawo</w:t>
            </w:r>
          </w:p>
          <w:p>
            <w:pPr>
              <w:pStyle w:val="Standard"/>
              <w:spacing w:before="0" w:after="0"/>
              <w:rPr>
                <w:rFonts w:ascii="Arial" w:hAnsi="Arial"/>
                <w:color w:val="auto"/>
                <w:sz w:val="24"/>
                <w:szCs w:val="24"/>
              </w:rPr>
            </w:pPr>
            <w:r>
              <w:rPr>
                <w:rFonts w:cs="TimesNewRomanPSMT" w:ascii="Arial" w:hAnsi="Arial"/>
                <w:color w:val="auto"/>
                <w:sz w:val="24"/>
                <w:szCs w:val="24"/>
              </w:rPr>
              <w:t>Oświatowe (tekst jednolity Dz.U. z 2017 r. poz. 59) oraz wydane do niej przepisy wykonawcze oraz Statut Poradni Psychologiczno-Pedagogicznej.</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2.</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wskazanie okresu objętego sprawozdaniem</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01 stycznia 2024 - 31 grudnia 2024</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3.</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4.</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numPr>
                <w:ilvl w:val="0"/>
                <w:numId w:val="2"/>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Standard"/>
              <w:numPr>
                <w:ilvl w:val="0"/>
                <w:numId w:val="3"/>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Standard"/>
              <w:numPr>
                <w:ilvl w:val="0"/>
                <w:numId w:val="3"/>
              </w:numPr>
              <w:spacing w:before="0" w:after="0"/>
              <w:jc w:val="both"/>
              <w:rPr>
                <w:rFonts w:ascii="Arial" w:hAnsi="Arial"/>
                <w:color w:val="auto"/>
                <w:sz w:val="24"/>
                <w:szCs w:val="24"/>
              </w:rPr>
            </w:pPr>
            <w:r>
              <w:rPr>
                <w:rFonts w:cs="Calibri" w:ascii="Arial" w:hAnsi="Arial"/>
                <w:color w:val="auto"/>
                <w:sz w:val="24"/>
                <w:szCs w:val="24"/>
              </w:rPr>
              <w:t>Środki trwałe w budowie wycenia się w wysokości ogółu kosztów pozostających w bezpośrednim związku z ich wytworzeniem.</w:t>
            </w:r>
          </w:p>
          <w:p>
            <w:pPr>
              <w:pStyle w:val="Standard"/>
              <w:numPr>
                <w:ilvl w:val="0"/>
                <w:numId w:val="3"/>
              </w:numPr>
              <w:spacing w:before="0" w:after="0"/>
              <w:jc w:val="both"/>
              <w:rPr>
                <w:rFonts w:ascii="Arial" w:hAnsi="Arial"/>
                <w:color w:val="auto"/>
                <w:sz w:val="24"/>
                <w:szCs w:val="24"/>
              </w:rPr>
            </w:pPr>
            <w:r>
              <w:rPr>
                <w:rFonts w:cs="Calibri" w:ascii="Arial" w:hAnsi="Arial"/>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Standard"/>
              <w:numPr>
                <w:ilvl w:val="0"/>
                <w:numId w:val="3"/>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Rzeczowe składniki aktywów obrotowych wycenia się według cen nabycia lub kosztów wytworzenia nie wyższych od cen sprzedaży netto na dzień bilansowy.</w:t>
            </w:r>
          </w:p>
          <w:p>
            <w:pPr>
              <w:pStyle w:val="Standard"/>
              <w:numPr>
                <w:ilvl w:val="0"/>
                <w:numId w:val="3"/>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Należności wycenia się w kwocie wymagalnej zapłaty z zachowaniem zasady ostrożności.</w:t>
            </w:r>
          </w:p>
          <w:p>
            <w:pPr>
              <w:pStyle w:val="Standard"/>
              <w:numPr>
                <w:ilvl w:val="0"/>
                <w:numId w:val="3"/>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Zobowiązania wycenia się w kwocie wymagającej zapłaty.</w:t>
            </w:r>
          </w:p>
          <w:p>
            <w:pPr>
              <w:pStyle w:val="Standard"/>
              <w:numPr>
                <w:ilvl w:val="0"/>
                <w:numId w:val="3"/>
              </w:numPr>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Rezerwy wycenia się w uzasadnionej, wiarygodnie oszacowanej wartości.</w:t>
            </w:r>
          </w:p>
          <w:p>
            <w:pPr>
              <w:pStyle w:val="Standard"/>
              <w:numPr>
                <w:ilvl w:val="0"/>
                <w:numId w:val="3"/>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Standard"/>
              <w:numPr>
                <w:ilvl w:val="0"/>
                <w:numId w:val="0"/>
              </w:numPr>
              <w:spacing w:before="0" w:after="0"/>
              <w:ind w:left="720" w:hanging="0"/>
              <w:jc w:val="both"/>
              <w:rPr>
                <w:rFonts w:ascii="Arial" w:hAnsi="Arial"/>
                <w:color w:val="auto"/>
                <w:sz w:val="24"/>
                <w:szCs w:val="24"/>
              </w:rPr>
            </w:pPr>
            <w:r>
              <w:rPr>
                <w:rFonts w:cs="Calibri" w:ascii="Arial" w:hAnsi="Arial"/>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Standard"/>
              <w:numPr>
                <w:ilvl w:val="0"/>
                <w:numId w:val="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Zasady amortyzacji (umorzenia) środków trwałych i wartości niematerialnych i prawnych.</w:t>
            </w:r>
          </w:p>
          <w:p>
            <w:pPr>
              <w:pStyle w:val="Standard"/>
              <w:numPr>
                <w:ilvl w:val="0"/>
                <w:numId w:val="0"/>
              </w:numPr>
              <w:spacing w:before="0" w:after="0"/>
              <w:ind w:left="720" w:hanging="0"/>
              <w:jc w:val="both"/>
              <w:rPr>
                <w:rFonts w:ascii="Arial" w:hAnsi="Arial"/>
                <w:color w:val="auto"/>
                <w:sz w:val="24"/>
                <w:szCs w:val="24"/>
              </w:rPr>
            </w:pPr>
            <w:r>
              <w:rPr>
                <w:rFonts w:eastAsia="Times New Roman" w:cs="Calibri" w:ascii="Arial" w:hAnsi="Arial"/>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Standard"/>
              <w:numPr>
                <w:ilvl w:val="0"/>
                <w:numId w:val="0"/>
              </w:numPr>
              <w:spacing w:before="0" w:after="0"/>
              <w:ind w:left="720" w:hanging="0"/>
              <w:jc w:val="both"/>
              <w:rPr>
                <w:rFonts w:ascii="Arial" w:hAnsi="Arial"/>
                <w:color w:val="auto"/>
                <w:sz w:val="24"/>
                <w:szCs w:val="24"/>
              </w:rPr>
            </w:pPr>
            <w:r>
              <w:rPr>
                <w:rFonts w:eastAsia="Times New Roman" w:cs="Calibri" w:ascii="Arial" w:hAnsi="Arial"/>
                <w:color w:val="auto"/>
                <w:sz w:val="24"/>
                <w:szCs w:val="24"/>
                <w:lang w:eastAsia="pl-PL"/>
              </w:rPr>
              <w:t>Meble, krzesła, dywany, wykładziny ewidencjonowane są na koncie 013 – pozostałe środki trwałe - bez względu na wartość.</w:t>
            </w:r>
          </w:p>
          <w:p>
            <w:pPr>
              <w:pStyle w:val="Standard"/>
              <w:numPr>
                <w:ilvl w:val="0"/>
                <w:numId w:val="0"/>
              </w:numPr>
              <w:spacing w:before="0" w:after="0"/>
              <w:ind w:left="720" w:hanging="0"/>
              <w:jc w:val="both"/>
              <w:rPr>
                <w:rFonts w:ascii="Arial" w:hAnsi="Arial"/>
                <w:color w:val="auto"/>
                <w:sz w:val="24"/>
                <w:szCs w:val="24"/>
              </w:rPr>
            </w:pPr>
            <w:r>
              <w:rPr>
                <w:rFonts w:eastAsia="Times New Roman" w:cs="Calibri" w:ascii="Arial" w:hAnsi="Arial"/>
                <w:color w:val="auto"/>
                <w:sz w:val="24"/>
                <w:szCs w:val="24"/>
                <w:lang w:eastAsia="pl-PL"/>
              </w:rPr>
              <w:t>Środki dydaktyczne służące procesowi dydaktyczno-wychowawczemu (bez względu na wartość) umarzane jednorazowo ewidencjonuje się na koncie 013 – pozostałe środki trwałe.</w:t>
            </w:r>
          </w:p>
          <w:p>
            <w:pPr>
              <w:pStyle w:val="Standard"/>
              <w:numPr>
                <w:ilvl w:val="0"/>
                <w:numId w:val="0"/>
              </w:numPr>
              <w:spacing w:before="0" w:after="0"/>
              <w:ind w:left="720" w:hanging="0"/>
              <w:jc w:val="both"/>
              <w:rPr>
                <w:rFonts w:ascii="Arial" w:hAnsi="Arial"/>
                <w:color w:val="auto"/>
                <w:sz w:val="24"/>
                <w:szCs w:val="24"/>
              </w:rPr>
            </w:pPr>
            <w:r>
              <w:rPr>
                <w:rFonts w:cs="Calibri" w:ascii="Arial" w:hAnsi="Arial"/>
                <w:color w:val="auto"/>
                <w:sz w:val="24"/>
                <w:szCs w:val="24"/>
              </w:rPr>
              <w:t>Przedmioty o okresie używania dłuższym niż rok o wartości od 300 zł do 10.000 zł. umarza się metodą uproszczoną, przez jednorazowy odpis w pełnej ich wartości w miesiącu zakupu i ujmuje się w ewidencji bilansowej na koncie 013 – pozostałe środki trwałe.</w:t>
            </w:r>
          </w:p>
          <w:p>
            <w:pPr>
              <w:pStyle w:val="Standard"/>
              <w:numPr>
                <w:ilvl w:val="0"/>
                <w:numId w:val="0"/>
              </w:numPr>
              <w:spacing w:before="0" w:after="0"/>
              <w:ind w:left="720" w:hanging="0"/>
              <w:jc w:val="both"/>
              <w:rPr>
                <w:rFonts w:ascii="Arial" w:hAnsi="Arial"/>
                <w:color w:val="auto"/>
                <w:sz w:val="24"/>
                <w:szCs w:val="24"/>
              </w:rPr>
            </w:pPr>
            <w:r>
              <w:rPr>
                <w:rFonts w:cs="Calibri" w:ascii="Arial" w:hAnsi="Arial"/>
                <w:color w:val="auto"/>
                <w:sz w:val="24"/>
                <w:szCs w:val="24"/>
              </w:rPr>
              <w:t>Ponadto, bez względu na wartość jednorazowo umarza się:</w:t>
            </w:r>
          </w:p>
          <w:p>
            <w:pPr>
              <w:pStyle w:val="Standard"/>
              <w:numPr>
                <w:ilvl w:val="0"/>
                <w:numId w:val="5"/>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Książki i inne zbiory biblioteczne.</w:t>
            </w:r>
          </w:p>
          <w:p>
            <w:pPr>
              <w:pStyle w:val="Standard"/>
              <w:numPr>
                <w:ilvl w:val="0"/>
                <w:numId w:val="5"/>
              </w:numPr>
              <w:spacing w:before="0" w:after="0"/>
              <w:jc w:val="both"/>
              <w:rPr>
                <w:rFonts w:ascii="Arial" w:hAnsi="Arial"/>
                <w:color w:val="auto"/>
                <w:sz w:val="24"/>
                <w:szCs w:val="24"/>
              </w:rPr>
            </w:pPr>
            <w:r>
              <w:rPr>
                <w:rFonts w:cs="Calibri" w:ascii="Arial" w:hAnsi="Arial"/>
                <w:color w:val="auto"/>
                <w:sz w:val="24"/>
                <w:szCs w:val="24"/>
              </w:rPr>
              <w:t xml:space="preserve">Środki dydaktyczne służące procesowi dydaktyczno-wychowawczemu realizowanemu w szkołach </w:t>
              <w:br/>
              <w:t>i placówkach oświatowych.</w:t>
            </w:r>
          </w:p>
          <w:p>
            <w:pPr>
              <w:pStyle w:val="Standard"/>
              <w:numPr>
                <w:ilvl w:val="0"/>
                <w:numId w:val="5"/>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Meble, dywany i wykładziny.</w:t>
            </w:r>
          </w:p>
          <w:p>
            <w:pPr>
              <w:pStyle w:val="Standard"/>
              <w:numPr>
                <w:ilvl w:val="0"/>
                <w:numId w:val="5"/>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w:t>
            </w:r>
          </w:p>
          <w:p>
            <w:pPr>
              <w:pStyle w:val="Standard"/>
              <w:numPr>
                <w:ilvl w:val="0"/>
                <w:numId w:val="0"/>
              </w:numPr>
              <w:spacing w:before="0" w:after="0"/>
              <w:ind w:left="720" w:hanging="0"/>
              <w:jc w:val="both"/>
              <w:rPr>
                <w:rFonts w:ascii="Arial" w:hAnsi="Arial"/>
                <w:color w:val="auto"/>
                <w:sz w:val="24"/>
                <w:szCs w:val="24"/>
              </w:rPr>
            </w:pPr>
            <w:r>
              <w:rPr>
                <w:rFonts w:cs="Calibri" w:ascii="Arial" w:hAnsi="Arial"/>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Standard"/>
              <w:spacing w:before="0" w:after="0"/>
              <w:jc w:val="both"/>
              <w:rPr>
                <w:rFonts w:ascii="Arial" w:hAnsi="Arial"/>
                <w:color w:val="auto"/>
                <w:sz w:val="24"/>
                <w:szCs w:val="24"/>
              </w:rPr>
            </w:pPr>
            <w:r>
              <w:rPr>
                <w:rFonts w:cs="Calibri" w:ascii="Arial" w:hAnsi="Arial"/>
                <w:bCs/>
                <w:color w:val="auto"/>
                <w:sz w:val="24"/>
                <w:szCs w:val="24"/>
              </w:rPr>
              <w:t>Ustala się następujące techniki dokumentowania zapisów księgowych oraz stosowanych uproszczeń:</w:t>
            </w:r>
          </w:p>
          <w:p>
            <w:pPr>
              <w:pStyle w:val="Standard"/>
              <w:numPr>
                <w:ilvl w:val="0"/>
                <w:numId w:val="6"/>
              </w:numPr>
              <w:spacing w:before="0" w:after="0"/>
              <w:jc w:val="both"/>
              <w:rPr>
                <w:rFonts w:ascii="Arial" w:hAnsi="Arial"/>
                <w:color w:val="auto"/>
                <w:sz w:val="24"/>
                <w:szCs w:val="24"/>
              </w:rPr>
            </w:pPr>
            <w:r>
              <w:rPr>
                <w:rFonts w:cs="Calibri" w:ascii="Arial" w:hAnsi="Arial"/>
                <w:color w:val="auto"/>
                <w:sz w:val="24"/>
                <w:szCs w:val="24"/>
              </w:rPr>
              <w:t>Księgi rachunkowe prowadzone są w siedzibie Centrum Usług Wspólnych Placówek Oświatowych na ul. Wojska Polskiego 27 we Włocławku.</w:t>
            </w:r>
          </w:p>
          <w:p>
            <w:pPr>
              <w:pStyle w:val="Standard"/>
              <w:numPr>
                <w:ilvl w:val="0"/>
                <w:numId w:val="6"/>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Rokiem obrotowym jest okres roku budżetowego, czyli rok kalendarzowy od 1 stycznia do 31 grudnia.</w:t>
            </w:r>
          </w:p>
          <w:p>
            <w:pPr>
              <w:pStyle w:val="Standard"/>
              <w:numPr>
                <w:ilvl w:val="0"/>
                <w:numId w:val="6"/>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Najkrótszym okresem sprawozdawczym są poszczególne miesiące.</w:t>
            </w:r>
          </w:p>
          <w:p>
            <w:pPr>
              <w:pStyle w:val="Standard"/>
              <w:numPr>
                <w:ilvl w:val="0"/>
                <w:numId w:val="6"/>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Standard"/>
              <w:numPr>
                <w:ilvl w:val="0"/>
                <w:numId w:val="6"/>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Księgi rachunkowe prowadzi się w języku polskim.</w:t>
            </w:r>
          </w:p>
          <w:p>
            <w:pPr>
              <w:pStyle w:val="Standard"/>
              <w:numPr>
                <w:ilvl w:val="0"/>
                <w:numId w:val="6"/>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Standard"/>
              <w:numPr>
                <w:ilvl w:val="0"/>
                <w:numId w:val="6"/>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Wykazane w księgach rachunkowych na dzień ich zamknięcia stany aktywów i pasywów, ujmuje się w tej samej wysokości w bilansie otwarcia następnego roku obrotowego.</w:t>
            </w:r>
          </w:p>
          <w:p>
            <w:pPr>
              <w:pStyle w:val="Standard"/>
              <w:numPr>
                <w:ilvl w:val="0"/>
                <w:numId w:val="6"/>
              </w:numPr>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Standard"/>
              <w:numPr>
                <w:ilvl w:val="0"/>
                <w:numId w:val="6"/>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Księgi rachunkowe obejmują zbiory zapisów księgowych, obrotów i sald, które tworzą:</w:t>
            </w:r>
          </w:p>
          <w:p>
            <w:pPr>
              <w:pStyle w:val="Standard"/>
              <w:numPr>
                <w:ilvl w:val="0"/>
                <w:numId w:val="7"/>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dziennik,</w:t>
            </w:r>
          </w:p>
          <w:p>
            <w:pPr>
              <w:pStyle w:val="Standard"/>
              <w:numPr>
                <w:ilvl w:val="0"/>
                <w:numId w:val="7"/>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księgę główną (ewidencji syntetycznej) w której obowiązuje ujęcie każdej operacji zgodnie z zasadą podwójnego zapisu (Wn – Ma),</w:t>
            </w:r>
          </w:p>
          <w:p>
            <w:pPr>
              <w:pStyle w:val="Standard"/>
              <w:numPr>
                <w:ilvl w:val="0"/>
                <w:numId w:val="8"/>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księgi pomocnicze (analityczne),</w:t>
            </w:r>
          </w:p>
          <w:p>
            <w:pPr>
              <w:pStyle w:val="Standard"/>
              <w:numPr>
                <w:ilvl w:val="0"/>
                <w:numId w:val="8"/>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zestawienie obrotów i sald księgi głównej i ksiąg pomocniczych,</w:t>
            </w:r>
          </w:p>
          <w:p>
            <w:pPr>
              <w:pStyle w:val="Standard"/>
              <w:numPr>
                <w:ilvl w:val="0"/>
                <w:numId w:val="8"/>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wykaz składników aktywów i pasywów (inwentarz).</w:t>
            </w:r>
          </w:p>
          <w:p>
            <w:pPr>
              <w:pStyle w:val="Standard"/>
              <w:numPr>
                <w:ilvl w:val="0"/>
                <w:numId w:val="0"/>
              </w:numPr>
              <w:spacing w:before="0" w:after="0"/>
              <w:ind w:left="720" w:hanging="0"/>
              <w:jc w:val="both"/>
              <w:rPr>
                <w:rFonts w:ascii="Arial" w:hAnsi="Arial"/>
                <w:color w:val="auto"/>
                <w:sz w:val="24"/>
                <w:szCs w:val="24"/>
              </w:rPr>
            </w:pPr>
            <w:r>
              <w:rPr>
                <w:rFonts w:cs="Calibri" w:ascii="Arial" w:hAnsi="Arial"/>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Zapisy w księgach rachunkowych dokonuje się na podstawie dowodów księgowych:</w:t>
            </w:r>
          </w:p>
          <w:p>
            <w:pPr>
              <w:pStyle w:val="Standard"/>
              <w:numPr>
                <w:ilvl w:val="0"/>
                <w:numId w:val="10"/>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zewnętrznych (otrzymywanych od kontrahentów - przekazywanych w oryginale kontrahentom),</w:t>
            </w:r>
          </w:p>
          <w:p>
            <w:pPr>
              <w:pStyle w:val="Standard"/>
              <w:numPr>
                <w:ilvl w:val="0"/>
                <w:numId w:val="10"/>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wewnętrznych – (dotyczące operacji wewnątrz jednostki).</w:t>
            </w:r>
          </w:p>
          <w:p>
            <w:pPr>
              <w:pStyle w:val="Standard"/>
              <w:numPr>
                <w:ilvl w:val="0"/>
                <w:numId w:val="0"/>
              </w:numPr>
              <w:spacing w:before="0" w:after="0"/>
              <w:ind w:left="720" w:hanging="0"/>
              <w:jc w:val="both"/>
              <w:rPr>
                <w:rFonts w:ascii="Arial" w:hAnsi="Arial"/>
                <w:color w:val="auto"/>
                <w:sz w:val="24"/>
                <w:szCs w:val="24"/>
              </w:rPr>
            </w:pPr>
            <w:r>
              <w:rPr>
                <w:rFonts w:cs="Calibri" w:ascii="Arial" w:hAnsi="Arial"/>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Konta syntetyczne oznaczone są symbolami trzycyfrowymi.</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Księgi rachunkowe prowadzi się rzetelnie, sprawdzalnie i bieżąco, właściwie kwalifikując dowody księgowe w odniesieniu do klasyfikacji budżetowej oraz zakładowego planu kont.</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Rozliczanie i grupowanie kosztów następuje na kontach rodzajowych zespołu „4” z zachowaniem zgodności wydatków za dany rok.</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Dochody i wydatki budżetowe klasyfikuje się według:</w:t>
            </w:r>
          </w:p>
          <w:p>
            <w:pPr>
              <w:pStyle w:val="Standard"/>
              <w:numPr>
                <w:ilvl w:val="0"/>
                <w:numId w:val="11"/>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działów i rozdziałów – określających rodzaj działalności,</w:t>
            </w:r>
          </w:p>
          <w:p>
            <w:pPr>
              <w:pStyle w:val="Standard"/>
              <w:numPr>
                <w:ilvl w:val="0"/>
                <w:numId w:val="11"/>
              </w:numPr>
              <w:spacing w:before="0" w:after="0"/>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paragrafów - określających rodzaj dochodu lub wydatku, zgodnie z obowiązującą klasyfikacją budżetową,</w:t>
            </w:r>
          </w:p>
          <w:p>
            <w:pPr>
              <w:pStyle w:val="Standard"/>
              <w:numPr>
                <w:ilvl w:val="0"/>
                <w:numId w:val="11"/>
              </w:numPr>
              <w:spacing w:before="0" w:after="0"/>
              <w:rPr>
                <w:rFonts w:ascii="Arial" w:hAnsi="Arial"/>
                <w:color w:val="auto"/>
                <w:sz w:val="24"/>
                <w:szCs w:val="24"/>
              </w:rPr>
            </w:pPr>
            <w:r>
              <w:rPr>
                <w:rFonts w:cs="Calibri" w:ascii="Arial" w:hAnsi="Arial"/>
                <w:color w:val="auto"/>
                <w:sz w:val="24"/>
                <w:szCs w:val="24"/>
              </w:rPr>
              <w:t>pozycji – uszczegółowienie dochodów i wydatków do potrzeb analiz i sprawozdań.</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Wydatki budżetowe są realizowane:</w:t>
            </w:r>
          </w:p>
          <w:p>
            <w:pPr>
              <w:pStyle w:val="Standard"/>
              <w:numPr>
                <w:ilvl w:val="0"/>
                <w:numId w:val="12"/>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 sposób celowy i oszczędny,</w:t>
            </w:r>
          </w:p>
          <w:p>
            <w:pPr>
              <w:pStyle w:val="Standard"/>
              <w:numPr>
                <w:ilvl w:val="0"/>
                <w:numId w:val="12"/>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umożliwiający terminową realizację zadań,</w:t>
            </w:r>
          </w:p>
          <w:p>
            <w:pPr>
              <w:pStyle w:val="Standard"/>
              <w:numPr>
                <w:ilvl w:val="0"/>
                <w:numId w:val="12"/>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 wysokości i terminach wynikających z wcześniej zaciągniętych zobowiązań,</w:t>
            </w:r>
          </w:p>
          <w:p>
            <w:pPr>
              <w:pStyle w:val="Standard"/>
              <w:numPr>
                <w:ilvl w:val="0"/>
                <w:numId w:val="12"/>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zgodnie z zasadami określonymi w przepisach o zamówieniach publicznych,</w:t>
            </w:r>
          </w:p>
          <w:p>
            <w:pPr>
              <w:pStyle w:val="Standard"/>
              <w:numPr>
                <w:ilvl w:val="0"/>
                <w:numId w:val="12"/>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nie powodując naruszeń dyscypliny budżetowej w rozumieniu Ustawy o odpowiedzialności za naruszenie dyscypliny finansów publicznych.</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Dopuszcza się księgowanie bezpośrednio w koszty wartości zużycia materiałów pozostałych, a pozostające na koniec roku zapasy zostaną objęte korektą kosztów w odniesieniu na magazyn (konto 310).</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Standard"/>
              <w:numPr>
                <w:ilvl w:val="0"/>
                <w:numId w:val="0"/>
              </w:numPr>
              <w:spacing w:before="0" w:after="0"/>
              <w:ind w:left="720" w:hanging="0"/>
              <w:jc w:val="both"/>
              <w:rPr>
                <w:rFonts w:ascii="Arial" w:hAnsi="Arial"/>
                <w:color w:val="auto"/>
                <w:sz w:val="24"/>
                <w:szCs w:val="24"/>
              </w:rPr>
            </w:pPr>
            <w:r>
              <w:rPr>
                <w:rFonts w:cs="Calibri" w:ascii="Arial" w:hAnsi="Arial"/>
                <w:color w:val="auto"/>
                <w:sz w:val="24"/>
                <w:szCs w:val="24"/>
              </w:rPr>
              <w:t>Szczególnie dowodami zastępczymi dokumentowane są:</w:t>
            </w:r>
          </w:p>
          <w:p>
            <w:pPr>
              <w:pStyle w:val="Standard"/>
              <w:numPr>
                <w:ilvl w:val="0"/>
                <w:numId w:val="13"/>
              </w:numPr>
              <w:spacing w:before="0" w:after="0"/>
              <w:jc w:val="both"/>
              <w:rPr>
                <w:rFonts w:ascii="Arial" w:hAnsi="Arial"/>
                <w:color w:val="auto"/>
                <w:sz w:val="24"/>
                <w:szCs w:val="24"/>
              </w:rPr>
            </w:pPr>
            <w:r>
              <w:rPr>
                <w:rFonts w:cs="Calibri" w:ascii="Arial" w:hAnsi="Arial"/>
                <w:color w:val="auto"/>
                <w:sz w:val="24"/>
                <w:szCs w:val="24"/>
              </w:rPr>
              <w:t>różne opłaty (sądowe itp.),</w:t>
            </w:r>
          </w:p>
          <w:p>
            <w:pPr>
              <w:pStyle w:val="Standard"/>
              <w:numPr>
                <w:ilvl w:val="0"/>
                <w:numId w:val="13"/>
              </w:numPr>
              <w:spacing w:before="0" w:after="0"/>
              <w:jc w:val="both"/>
              <w:rPr>
                <w:rFonts w:ascii="Arial" w:hAnsi="Arial"/>
                <w:color w:val="auto"/>
                <w:sz w:val="24"/>
                <w:szCs w:val="24"/>
              </w:rPr>
            </w:pPr>
            <w:r>
              <w:rPr>
                <w:rFonts w:cs="Calibri" w:ascii="Arial" w:hAnsi="Arial"/>
                <w:color w:val="auto"/>
                <w:sz w:val="24"/>
                <w:szCs w:val="24"/>
              </w:rPr>
              <w:t>pokwitowania za parkingi</w:t>
            </w:r>
          </w:p>
          <w:p>
            <w:pPr>
              <w:pStyle w:val="Standard"/>
              <w:numPr>
                <w:ilvl w:val="0"/>
                <w:numId w:val="13"/>
              </w:numPr>
              <w:spacing w:before="0" w:after="0"/>
              <w:jc w:val="both"/>
              <w:rPr>
                <w:rFonts w:ascii="Arial" w:hAnsi="Arial"/>
                <w:color w:val="auto"/>
                <w:sz w:val="24"/>
                <w:szCs w:val="24"/>
              </w:rPr>
            </w:pPr>
            <w:r>
              <w:rPr>
                <w:rFonts w:cs="Calibri" w:ascii="Arial" w:hAnsi="Arial"/>
                <w:color w:val="auto"/>
                <w:sz w:val="24"/>
                <w:szCs w:val="24"/>
              </w:rPr>
              <w:t>opłaty za przejazdy autostradami,</w:t>
            </w:r>
          </w:p>
          <w:p>
            <w:pPr>
              <w:pStyle w:val="Standard"/>
              <w:numPr>
                <w:ilvl w:val="0"/>
                <w:numId w:val="13"/>
              </w:numPr>
              <w:spacing w:before="0" w:after="0"/>
              <w:jc w:val="both"/>
              <w:rPr>
                <w:rFonts w:ascii="Arial" w:hAnsi="Arial"/>
                <w:color w:val="auto"/>
                <w:sz w:val="24"/>
                <w:szCs w:val="24"/>
              </w:rPr>
            </w:pPr>
            <w:r>
              <w:rPr>
                <w:rFonts w:cs="Calibri" w:ascii="Arial" w:hAnsi="Arial"/>
                <w:color w:val="auto"/>
                <w:sz w:val="24"/>
                <w:szCs w:val="24"/>
              </w:rPr>
              <w:t>opłaty za abonament radiowo-telewizyjny,</w:t>
            </w:r>
          </w:p>
          <w:p>
            <w:pPr>
              <w:pStyle w:val="Standard"/>
              <w:numPr>
                <w:ilvl w:val="0"/>
                <w:numId w:val="13"/>
              </w:numPr>
              <w:spacing w:before="0" w:after="0"/>
              <w:jc w:val="both"/>
              <w:rPr>
                <w:rFonts w:ascii="Arial" w:hAnsi="Arial"/>
                <w:color w:val="auto"/>
                <w:sz w:val="24"/>
                <w:szCs w:val="24"/>
              </w:rPr>
            </w:pPr>
            <w:r>
              <w:rPr>
                <w:rFonts w:cs="Calibri" w:ascii="Arial" w:hAnsi="Arial"/>
                <w:color w:val="auto"/>
                <w:sz w:val="24"/>
                <w:szCs w:val="24"/>
              </w:rPr>
              <w:t>opłaty za udział w targach szkół i placówek,</w:t>
            </w:r>
          </w:p>
          <w:p>
            <w:pPr>
              <w:pStyle w:val="Standard"/>
              <w:numPr>
                <w:ilvl w:val="0"/>
                <w:numId w:val="13"/>
              </w:numPr>
              <w:spacing w:before="0" w:after="0"/>
              <w:jc w:val="both"/>
              <w:rPr>
                <w:rFonts w:ascii="Arial" w:hAnsi="Arial"/>
                <w:color w:val="auto"/>
                <w:sz w:val="24"/>
                <w:szCs w:val="24"/>
              </w:rPr>
            </w:pPr>
            <w:r>
              <w:rPr>
                <w:rFonts w:cs="Calibri" w:ascii="Arial" w:hAnsi="Arial"/>
                <w:color w:val="auto"/>
                <w:sz w:val="24"/>
                <w:szCs w:val="24"/>
              </w:rPr>
              <w:t>pokwitowanie za listy polecone,</w:t>
            </w:r>
          </w:p>
          <w:p>
            <w:pPr>
              <w:pStyle w:val="Standard"/>
              <w:numPr>
                <w:ilvl w:val="0"/>
                <w:numId w:val="13"/>
              </w:numPr>
              <w:spacing w:before="0" w:after="0"/>
              <w:jc w:val="both"/>
              <w:rPr>
                <w:rFonts w:ascii="Arial" w:hAnsi="Arial"/>
                <w:color w:val="auto"/>
                <w:sz w:val="24"/>
                <w:szCs w:val="24"/>
              </w:rPr>
            </w:pPr>
            <w:r>
              <w:rPr>
                <w:rFonts w:cs="Calibri" w:ascii="Arial" w:hAnsi="Arial"/>
                <w:color w:val="auto"/>
                <w:sz w:val="24"/>
                <w:szCs w:val="24"/>
              </w:rPr>
              <w:t>podatek od nieruchomości,</w:t>
            </w:r>
          </w:p>
          <w:p>
            <w:pPr>
              <w:pStyle w:val="Standard"/>
              <w:numPr>
                <w:ilvl w:val="0"/>
                <w:numId w:val="13"/>
              </w:numPr>
              <w:spacing w:before="0" w:after="0"/>
              <w:jc w:val="both"/>
              <w:rPr>
                <w:rFonts w:ascii="Arial" w:hAnsi="Arial"/>
                <w:color w:val="auto"/>
                <w:sz w:val="24"/>
                <w:szCs w:val="24"/>
              </w:rPr>
            </w:pPr>
            <w:r>
              <w:rPr>
                <w:rFonts w:cs="Calibri" w:ascii="Arial" w:hAnsi="Arial"/>
                <w:color w:val="auto"/>
                <w:sz w:val="24"/>
                <w:szCs w:val="24"/>
              </w:rPr>
              <w:t>podatek od środków transportu,</w:t>
            </w:r>
          </w:p>
          <w:p>
            <w:pPr>
              <w:pStyle w:val="Standard"/>
              <w:numPr>
                <w:ilvl w:val="0"/>
                <w:numId w:val="13"/>
              </w:numPr>
              <w:spacing w:before="0" w:after="0"/>
              <w:jc w:val="both"/>
              <w:rPr>
                <w:rFonts w:ascii="Arial" w:hAnsi="Arial"/>
                <w:color w:val="auto"/>
                <w:sz w:val="24"/>
                <w:szCs w:val="24"/>
              </w:rPr>
            </w:pPr>
            <w:r>
              <w:rPr>
                <w:rFonts w:cs="Calibri" w:ascii="Arial" w:hAnsi="Arial"/>
                <w:color w:val="auto"/>
                <w:sz w:val="24"/>
                <w:szCs w:val="24"/>
              </w:rPr>
              <w:t>świadczenia dla pracowników z ZFŚS zgodnie z dyspozycją pisemną Kierownika jednostki obsługiwanej,</w:t>
            </w:r>
          </w:p>
          <w:p>
            <w:pPr>
              <w:pStyle w:val="Standard"/>
              <w:numPr>
                <w:ilvl w:val="0"/>
                <w:numId w:val="13"/>
              </w:numPr>
              <w:spacing w:before="0" w:after="0"/>
              <w:jc w:val="both"/>
              <w:rPr>
                <w:rFonts w:ascii="Arial" w:hAnsi="Arial"/>
                <w:color w:val="auto"/>
                <w:sz w:val="24"/>
                <w:szCs w:val="24"/>
              </w:rPr>
            </w:pPr>
            <w:r>
              <w:rPr>
                <w:rFonts w:cs="Calibri" w:ascii="Arial" w:hAnsi="Arial"/>
                <w:color w:val="auto"/>
                <w:sz w:val="24"/>
                <w:szCs w:val="24"/>
              </w:rPr>
              <w:t>bilety przy delegacjach służbowych.</w:t>
            </w:r>
          </w:p>
          <w:p>
            <w:pPr>
              <w:pStyle w:val="Standard"/>
              <w:numPr>
                <w:ilvl w:val="0"/>
                <w:numId w:val="9"/>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Dekretacja dokumentów księgowych jest umieszczana bezpośrednio na dowodach księgowych lub dołączona do dowodów w formie wydruku z systemu FK (z podpisem pracownika sporządzającego dekretację).</w:t>
            </w:r>
          </w:p>
          <w:p>
            <w:pPr>
              <w:pStyle w:val="Standard"/>
              <w:spacing w:before="0" w:after="0"/>
              <w:jc w:val="both"/>
              <w:rPr>
                <w:rFonts w:ascii="Arial" w:hAnsi="Arial"/>
                <w:color w:val="auto"/>
                <w:sz w:val="24"/>
                <w:szCs w:val="24"/>
              </w:rPr>
            </w:pPr>
            <w:r>
              <w:rPr>
                <w:rFonts w:cs="Calibri" w:ascii="Arial" w:hAnsi="Arial"/>
                <w:color w:val="auto"/>
                <w:sz w:val="24"/>
                <w:szCs w:val="24"/>
              </w:rPr>
              <w:t>Dokonano wyboru następujących rozwiązań dokumentowania operacji dopuszczalnych ustawą:</w:t>
            </w:r>
          </w:p>
          <w:p>
            <w:pPr>
              <w:pStyle w:val="Standard"/>
              <w:numPr>
                <w:ilvl w:val="0"/>
                <w:numId w:val="1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Standard"/>
              <w:numPr>
                <w:ilvl w:val="0"/>
                <w:numId w:val="1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na pomniejszenie dochodów danego roku budżetowego ujmuje się zwroty dokonane rodzicom, opiekunom na podstawie rozliczeń zatwierdzonych przez Kierownika jednostki obsługiwanej, które wpływają do CUWPO, dotyczących opłaty za pobyt i opłaty za wyżywienie,</w:t>
            </w:r>
          </w:p>
          <w:p>
            <w:pPr>
              <w:pStyle w:val="Standard"/>
              <w:numPr>
                <w:ilvl w:val="0"/>
                <w:numId w:val="1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Standard"/>
              <w:numPr>
                <w:ilvl w:val="0"/>
                <w:numId w:val="1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Standard"/>
              <w:numPr>
                <w:ilvl w:val="0"/>
                <w:numId w:val="1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Standard"/>
              <w:numPr>
                <w:ilvl w:val="0"/>
                <w:numId w:val="1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Standard"/>
              <w:numPr>
                <w:ilvl w:val="0"/>
                <w:numId w:val="1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Standard"/>
              <w:numPr>
                <w:ilvl w:val="0"/>
                <w:numId w:val="1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 xml:space="preserve">Odsetki od należności, ujmuje się w księgach rachunkowych w momencie ich zapłaty lub na koniec kwartału </w:t>
              <w:br/>
              <w:t>w wysokości odsetek należnych na koniec tego kwartału.</w:t>
            </w:r>
          </w:p>
          <w:p>
            <w:pPr>
              <w:pStyle w:val="Standard"/>
              <w:numPr>
                <w:ilvl w:val="0"/>
                <w:numId w:val="1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Standard"/>
              <w:numPr>
                <w:ilvl w:val="0"/>
                <w:numId w:val="1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Wycena aktywów i pasywów wyrażonych w walutach obcych dokonuje się nie później niż na koniec kwartału.</w:t>
            </w:r>
          </w:p>
          <w:p>
            <w:pPr>
              <w:pStyle w:val="Standard"/>
              <w:numPr>
                <w:ilvl w:val="0"/>
                <w:numId w:val="14"/>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Standard"/>
              <w:numPr>
                <w:ilvl w:val="0"/>
                <w:numId w:val="15"/>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Rozliczenia z tytułu VAT.</w:t>
            </w:r>
          </w:p>
          <w:p>
            <w:pPr>
              <w:pStyle w:val="Standard"/>
              <w:numPr>
                <w:ilvl w:val="0"/>
                <w:numId w:val="16"/>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p>
          <w:p>
            <w:pPr>
              <w:pStyle w:val="Standard"/>
              <w:spacing w:before="0" w:after="0"/>
              <w:rPr>
                <w:rFonts w:ascii="Arial" w:hAnsi="Arial"/>
                <w:color w:val="auto"/>
                <w:sz w:val="24"/>
                <w:szCs w:val="24"/>
              </w:rPr>
            </w:pPr>
            <w:r>
              <w:rPr>
                <w:rFonts w:ascii="Arial" w:hAnsi="Arial"/>
                <w:color w:val="auto"/>
                <w:sz w:val="24"/>
                <w:szCs w:val="24"/>
              </w:rPr>
              <w:t>W celu realizacji MPP (Mechanizm Podzielonej Płatności)wydzielono w księgach rachunkowych dodatkowe konta analityczne " VAT".  </w:t>
            </w:r>
          </w:p>
          <w:p>
            <w:pPr>
              <w:pStyle w:val="Standard"/>
              <w:numPr>
                <w:ilvl w:val="0"/>
                <w:numId w:val="17"/>
              </w:numPr>
              <w:spacing w:before="0" w:after="0"/>
              <w:jc w:val="both"/>
              <w:rPr>
                <w:rFonts w:ascii="Arial" w:hAnsi="Arial"/>
                <w:color w:val="auto"/>
                <w:sz w:val="24"/>
                <w:szCs w:val="24"/>
              </w:rPr>
            </w:pPr>
            <w:r>
              <w:rPr>
                <w:rFonts w:cs="Calibri" w:ascii="Arial" w:hAnsi="Arial"/>
                <w:bCs/>
                <w:color w:val="auto"/>
                <w:sz w:val="24"/>
                <w:szCs w:val="24"/>
              </w:rPr>
              <w:t xml:space="preserve"> </w:t>
            </w:r>
            <w:r>
              <w:rPr>
                <w:rFonts w:cs="Calibri" w:ascii="Arial" w:hAnsi="Arial"/>
                <w:bCs/>
                <w:color w:val="auto"/>
                <w:sz w:val="24"/>
                <w:szCs w:val="24"/>
              </w:rPr>
              <w:t>Sprawozdawczość finansowa:</w:t>
            </w:r>
          </w:p>
          <w:p>
            <w:pPr>
              <w:pStyle w:val="Standard"/>
              <w:numPr>
                <w:ilvl w:val="0"/>
                <w:numId w:val="18"/>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Standard"/>
              <w:numPr>
                <w:ilvl w:val="0"/>
                <w:numId w:val="19"/>
              </w:numPr>
              <w:spacing w:before="0" w:after="0"/>
              <w:jc w:val="both"/>
              <w:rPr>
                <w:rFonts w:ascii="Arial" w:hAnsi="Arial"/>
                <w:color w:val="auto"/>
                <w:sz w:val="24"/>
                <w:szCs w:val="24"/>
              </w:rPr>
            </w:pPr>
            <w:r>
              <w:rPr>
                <w:rFonts w:cs="Calibri" w:ascii="Arial" w:hAnsi="Arial"/>
                <w:b/>
                <w:bCs/>
                <w:iCs/>
                <w:color w:val="auto"/>
                <w:sz w:val="24"/>
                <w:szCs w:val="24"/>
              </w:rPr>
              <w:t>VI.</w:t>
            </w:r>
            <w:r>
              <w:rPr>
                <w:rFonts w:cs="Calibri" w:ascii="Arial" w:hAnsi="Arial"/>
                <w:bCs/>
                <w:iCs/>
                <w:color w:val="auto"/>
                <w:sz w:val="24"/>
                <w:szCs w:val="24"/>
              </w:rPr>
              <w:t xml:space="preserve"> Księgi rachunkowe prowadzi się techniką komputerową wg następującego oprogramowania:</w:t>
            </w:r>
          </w:p>
          <w:p>
            <w:pPr>
              <w:pStyle w:val="Standard"/>
              <w:numPr>
                <w:ilvl w:val="0"/>
                <w:numId w:val="20"/>
              </w:numPr>
              <w:spacing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Vulcan aplikacja Finanse VULCAN wersja zgodna z aktualizacjami programu - firma Vulcan Sp.</w:t>
              <w:br/>
              <w:t>z o.o. ul. Wołowska 6, 51-116 Wrocław. Administratorem platformy systemu Vulcan jest Gmina Miasto Włocławek.</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cs="Calibri" w:ascii="Arial" w:hAnsi="Arial"/>
                <w:color w:val="auto"/>
                <w:sz w:val="24"/>
                <w:szCs w:val="24"/>
              </w:rPr>
              <w:t>5.</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inne informacje</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cs="Calibri" w:ascii="Arial" w:hAnsi="Arial"/>
                <w:b/>
                <w:color w:val="auto"/>
                <w:sz w:val="24"/>
                <w:szCs w:val="24"/>
              </w:rPr>
              <w:t>II.</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bCs/>
                <w:color w:val="auto"/>
                <w:sz w:val="24"/>
                <w:szCs w:val="24"/>
              </w:rPr>
              <w:t>Dodatkowe informacje i objaśnienia obejmują w szczególności:</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cs="Calibri" w:ascii="Arial" w:hAnsi="Arial"/>
                <w:color w:val="auto"/>
                <w:sz w:val="24"/>
                <w:szCs w:val="24"/>
              </w:rPr>
              <w:t>1.</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cs="Calibri" w:ascii="Arial" w:hAnsi="Arial"/>
                <w:color w:val="auto"/>
                <w:sz w:val="24"/>
                <w:szCs w:val="24"/>
              </w:rPr>
              <w:t>1.1</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40" w:hanging="0"/>
              <w:jc w:val="both"/>
              <w:rPr>
                <w:rFonts w:ascii="Arial" w:hAnsi="Arial"/>
                <w:color w:val="auto"/>
                <w:sz w:val="24"/>
                <w:szCs w:val="24"/>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Standard"/>
              <w:spacing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rHeight w:val="9913" w:hRule="atLeast"/>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tbl>
            <w:tblPr>
              <w:tblW w:w="15719" w:type="dxa"/>
              <w:jc w:val="left"/>
              <w:tblInd w:w="0" w:type="dxa"/>
              <w:tblCellMar>
                <w:top w:w="0" w:type="dxa"/>
                <w:left w:w="70" w:type="dxa"/>
                <w:bottom w:w="0" w:type="dxa"/>
                <w:right w:w="70" w:type="dxa"/>
              </w:tblCellMar>
              <w:tblLook w:firstRow="0" w:noVBand="0" w:lastRow="0" w:firstColumn="0" w:lastColumn="0" w:noHBand="0" w:val="0000"/>
            </w:tblPr>
            <w:tblGrid>
              <w:gridCol w:w="168"/>
              <w:gridCol w:w="180"/>
              <w:gridCol w:w="439"/>
              <w:gridCol w:w="90"/>
              <w:gridCol w:w="454"/>
              <w:gridCol w:w="297"/>
              <w:gridCol w:w="240"/>
              <w:gridCol w:w="57"/>
              <w:gridCol w:w="296"/>
              <w:gridCol w:w="213"/>
              <w:gridCol w:w="154"/>
              <w:gridCol w:w="373"/>
              <w:gridCol w:w="181"/>
              <w:gridCol w:w="339"/>
              <w:gridCol w:w="227"/>
              <w:gridCol w:w="3"/>
              <w:gridCol w:w="138"/>
              <w:gridCol w:w="519"/>
              <w:gridCol w:w="47"/>
              <w:gridCol w:w="3"/>
              <w:gridCol w:w="561"/>
              <w:gridCol w:w="2"/>
              <w:gridCol w:w="512"/>
              <w:gridCol w:w="195"/>
              <w:gridCol w:w="176"/>
              <w:gridCol w:w="159"/>
              <w:gridCol w:w="90"/>
              <w:gridCol w:w="6"/>
              <w:gridCol w:w="638"/>
              <w:gridCol w:w="63"/>
              <w:gridCol w:w="6"/>
              <w:gridCol w:w="456"/>
              <w:gridCol w:w="528"/>
              <w:gridCol w:w="2"/>
              <w:gridCol w:w="6"/>
              <w:gridCol w:w="500"/>
              <w:gridCol w:w="159"/>
              <w:gridCol w:w="184"/>
              <w:gridCol w:w="6"/>
              <w:gridCol w:w="560"/>
              <w:gridCol w:w="191"/>
              <w:gridCol w:w="514"/>
              <w:gridCol w:w="2"/>
              <w:gridCol w:w="14"/>
              <w:gridCol w:w="162"/>
              <w:gridCol w:w="533"/>
              <w:gridCol w:w="8"/>
              <w:gridCol w:w="6"/>
              <w:gridCol w:w="39"/>
              <w:gridCol w:w="555"/>
              <w:gridCol w:w="43"/>
              <w:gridCol w:w="15"/>
              <w:gridCol w:w="41"/>
              <w:gridCol w:w="8"/>
              <w:gridCol w:w="545"/>
              <w:gridCol w:w="73"/>
              <w:gridCol w:w="39"/>
              <w:gridCol w:w="44"/>
              <w:gridCol w:w="8"/>
              <w:gridCol w:w="505"/>
              <w:gridCol w:w="39"/>
              <w:gridCol w:w="299"/>
              <w:gridCol w:w="7"/>
              <w:gridCol w:w="197"/>
              <w:gridCol w:w="596"/>
              <w:gridCol w:w="195"/>
              <w:gridCol w:w="207"/>
              <w:gridCol w:w="596"/>
              <w:gridCol w:w="181"/>
              <w:gridCol w:w="9"/>
              <w:gridCol w:w="187"/>
              <w:gridCol w:w="9"/>
              <w:gridCol w:w="2"/>
              <w:gridCol w:w="622"/>
            </w:tblGrid>
            <w:tr>
              <w:trPr>
                <w:trHeight w:val="217" w:hRule="atLeast"/>
              </w:trPr>
              <w:tc>
                <w:tcPr>
                  <w:tcW w:w="9948" w:type="dxa"/>
                  <w:gridSpan w:val="44"/>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u w:val="single"/>
                      <w:lang w:eastAsia="pl-PL"/>
                    </w:rPr>
                    <w:t xml:space="preserve">Główne składniki aktywów trwałych </w:t>
                  </w:r>
                </w:p>
                <w:p>
                  <w:pPr>
                    <w:pStyle w:val="Normal"/>
                    <w:widowControl/>
                    <w:suppressAutoHyphens w:val="false"/>
                    <w:spacing w:before="0" w:after="0"/>
                    <w:textAlignment w:val="auto"/>
                    <w:rPr>
                      <w:rFonts w:ascii="Arial" w:hAnsi="Arial" w:eastAsia="Times New Roman" w:cs="Calibri"/>
                      <w:b/>
                      <w:b/>
                      <w:bCs/>
                      <w:color w:val="auto"/>
                      <w:kern w:val="0"/>
                      <w:sz w:val="24"/>
                      <w:szCs w:val="24"/>
                      <w:u w:val="single"/>
                      <w:lang w:eastAsia="pl-PL"/>
                    </w:rPr>
                  </w:pPr>
                  <w:r>
                    <w:rPr>
                      <w:rFonts w:eastAsia="Times New Roman" w:cs="Calibri" w:ascii="Arial" w:hAnsi="Arial"/>
                      <w:b/>
                      <w:bCs/>
                      <w:color w:val="auto"/>
                      <w:kern w:val="0"/>
                      <w:sz w:val="24"/>
                      <w:szCs w:val="24"/>
                      <w:u w:val="single"/>
                      <w:lang w:eastAsia="pl-PL"/>
                    </w:rPr>
                  </w:r>
                </w:p>
              </w:tc>
              <w:tc>
                <w:tcPr>
                  <w:tcW w:w="709" w:type="dxa"/>
                  <w:gridSpan w:val="4"/>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u w:val="single"/>
                      <w:lang w:eastAsia="pl-PL"/>
                    </w:rPr>
                  </w:pPr>
                  <w:r>
                    <w:rPr>
                      <w:rFonts w:eastAsia="Times New Roman" w:cs="Calibri" w:ascii="Arial" w:hAnsi="Arial"/>
                      <w:b/>
                      <w:bCs/>
                      <w:color w:val="auto"/>
                      <w:kern w:val="0"/>
                      <w:sz w:val="24"/>
                      <w:szCs w:val="24"/>
                      <w:u w:val="single"/>
                      <w:lang w:eastAsia="pl-PL"/>
                    </w:rPr>
                  </w:r>
                </w:p>
              </w:tc>
              <w:tc>
                <w:tcPr>
                  <w:tcW w:w="39" w:type="dxa"/>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u w:val="single"/>
                      <w:lang w:eastAsia="pl-PL"/>
                    </w:rPr>
                  </w:pPr>
                  <w:r>
                    <w:rPr>
                      <w:rFonts w:eastAsia="Times New Roman" w:cs="Calibri" w:ascii="Arial" w:hAnsi="Arial"/>
                      <w:b/>
                      <w:bCs/>
                      <w:color w:val="auto"/>
                      <w:kern w:val="0"/>
                      <w:sz w:val="24"/>
                      <w:szCs w:val="24"/>
                      <w:u w:val="single"/>
                      <w:lang w:eastAsia="pl-PL"/>
                    </w:rPr>
                  </w:r>
                </w:p>
              </w:tc>
              <w:tc>
                <w:tcPr>
                  <w:tcW w:w="613" w:type="dxa"/>
                  <w:gridSpan w:val="3"/>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u w:val="single"/>
                      <w:lang w:eastAsia="pl-PL"/>
                    </w:rPr>
                  </w:pPr>
                  <w:r>
                    <w:rPr>
                      <w:rFonts w:eastAsia="Times New Roman" w:cs="Calibri" w:ascii="Arial" w:hAnsi="Arial"/>
                      <w:b/>
                      <w:bCs/>
                      <w:color w:val="auto"/>
                      <w:kern w:val="0"/>
                      <w:sz w:val="24"/>
                      <w:szCs w:val="24"/>
                      <w:u w:val="single"/>
                      <w:lang w:eastAsia="pl-PL"/>
                    </w:rPr>
                  </w:r>
                </w:p>
              </w:tc>
              <w:tc>
                <w:tcPr>
                  <w:tcW w:w="667" w:type="dxa"/>
                  <w:gridSpan w:val="4"/>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u w:val="single"/>
                      <w:lang w:eastAsia="pl-PL"/>
                    </w:rPr>
                  </w:pPr>
                  <w:r>
                    <w:rPr>
                      <w:rFonts w:eastAsia="Times New Roman" w:cs="Calibri" w:ascii="Arial" w:hAnsi="Arial"/>
                      <w:b/>
                      <w:bCs/>
                      <w:color w:val="auto"/>
                      <w:kern w:val="0"/>
                      <w:sz w:val="24"/>
                      <w:szCs w:val="24"/>
                      <w:u w:val="single"/>
                      <w:lang w:eastAsia="pl-PL"/>
                    </w:rPr>
                  </w:r>
                </w:p>
              </w:tc>
              <w:tc>
                <w:tcPr>
                  <w:tcW w:w="39" w:type="dxa"/>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u w:val="single"/>
                      <w:lang w:eastAsia="pl-PL"/>
                    </w:rPr>
                  </w:pPr>
                  <w:r>
                    <w:rPr>
                      <w:rFonts w:eastAsia="Times New Roman" w:cs="Calibri" w:ascii="Arial" w:hAnsi="Arial"/>
                      <w:b/>
                      <w:bCs/>
                      <w:color w:val="auto"/>
                      <w:kern w:val="0"/>
                      <w:sz w:val="24"/>
                      <w:szCs w:val="24"/>
                      <w:u w:val="single"/>
                      <w:lang w:eastAsia="pl-PL"/>
                    </w:rPr>
                  </w:r>
                </w:p>
              </w:tc>
              <w:tc>
                <w:tcPr>
                  <w:tcW w:w="1099" w:type="dxa"/>
                  <w:gridSpan w:val="7"/>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u w:val="single"/>
                      <w:lang w:eastAsia="pl-PL"/>
                    </w:rPr>
                  </w:pPr>
                  <w:r>
                    <w:rPr>
                      <w:rFonts w:eastAsia="Times New Roman" w:cs="Calibri" w:ascii="Arial" w:hAnsi="Arial"/>
                      <w:b/>
                      <w:bCs/>
                      <w:color w:val="auto"/>
                      <w:kern w:val="0"/>
                      <w:sz w:val="24"/>
                      <w:szCs w:val="24"/>
                      <w:u w:val="single"/>
                      <w:lang w:eastAsia="pl-PL"/>
                    </w:rPr>
                  </w:r>
                </w:p>
              </w:tc>
              <w:tc>
                <w:tcPr>
                  <w:tcW w:w="998" w:type="dxa"/>
                  <w:gridSpan w:val="3"/>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u w:val="single"/>
                      <w:lang w:eastAsia="pl-PL"/>
                    </w:rPr>
                  </w:pPr>
                  <w:r>
                    <w:rPr>
                      <w:rFonts w:eastAsia="Times New Roman" w:cs="Calibri" w:ascii="Arial" w:hAnsi="Arial"/>
                      <w:b/>
                      <w:bCs/>
                      <w:color w:val="auto"/>
                      <w:kern w:val="0"/>
                      <w:sz w:val="24"/>
                      <w:szCs w:val="24"/>
                      <w:u w:val="single"/>
                      <w:lang w:eastAsia="pl-PL"/>
                    </w:rPr>
                  </w:r>
                </w:p>
              </w:tc>
              <w:tc>
                <w:tcPr>
                  <w:tcW w:w="984" w:type="dxa"/>
                  <w:gridSpan w:val="6"/>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u w:val="single"/>
                      <w:lang w:eastAsia="pl-PL"/>
                    </w:rPr>
                  </w:pPr>
                  <w:r>
                    <w:rPr>
                      <w:rFonts w:eastAsia="Times New Roman" w:cs="Calibri" w:ascii="Arial" w:hAnsi="Arial"/>
                      <w:b/>
                      <w:bCs/>
                      <w:color w:val="auto"/>
                      <w:kern w:val="0"/>
                      <w:sz w:val="24"/>
                      <w:szCs w:val="24"/>
                      <w:u w:val="single"/>
                      <w:lang w:eastAsia="pl-PL"/>
                    </w:rPr>
                  </w:r>
                </w:p>
              </w:tc>
              <w:tc>
                <w:tcPr>
                  <w:tcW w:w="622" w:type="dxa"/>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u w:val="single"/>
                      <w:lang w:eastAsia="pl-PL"/>
                    </w:rPr>
                  </w:pPr>
                  <w:r>
                    <w:rPr>
                      <w:rFonts w:eastAsia="Times New Roman" w:cs="Calibri" w:ascii="Arial" w:hAnsi="Arial"/>
                      <w:b/>
                      <w:bCs/>
                      <w:color w:val="auto"/>
                      <w:kern w:val="0"/>
                      <w:sz w:val="24"/>
                      <w:szCs w:val="24"/>
                      <w:u w:val="single"/>
                      <w:lang w:eastAsia="pl-PL"/>
                    </w:rPr>
                  </w:r>
                </w:p>
              </w:tc>
            </w:tr>
            <w:tr>
              <w:trPr>
                <w:trHeight w:val="217" w:hRule="atLeast"/>
              </w:trPr>
              <w:tc>
                <w:tcPr>
                  <w:tcW w:w="348" w:type="dxa"/>
                  <w:gridSpan w:val="2"/>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439" w:type="dxa"/>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544" w:type="dxa"/>
                  <w:gridSpan w:val="2"/>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297" w:type="dxa"/>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297" w:type="dxa"/>
                  <w:gridSpan w:val="2"/>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296" w:type="dxa"/>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367" w:type="dxa"/>
                  <w:gridSpan w:val="2"/>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373" w:type="dxa"/>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520" w:type="dxa"/>
                  <w:gridSpan w:val="2"/>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368" w:type="dxa"/>
                  <w:gridSpan w:val="3"/>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519" w:type="dxa"/>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611" w:type="dxa"/>
                  <w:gridSpan w:val="3"/>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514" w:type="dxa"/>
                  <w:gridSpan w:val="2"/>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371" w:type="dxa"/>
                  <w:gridSpan w:val="2"/>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159" w:type="dxa"/>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734" w:type="dxa"/>
                  <w:gridSpan w:val="3"/>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525" w:type="dxa"/>
                  <w:gridSpan w:val="3"/>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528" w:type="dxa"/>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508" w:type="dxa"/>
                  <w:gridSpan w:val="3"/>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159" w:type="dxa"/>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941" w:type="dxa"/>
                  <w:gridSpan w:val="4"/>
                  <w:tcBorders>
                    <w:bottom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w:t>
                  </w:r>
                </w:p>
              </w:tc>
              <w:tc>
                <w:tcPr>
                  <w:tcW w:w="514" w:type="dxa"/>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178" w:type="dxa"/>
                  <w:gridSpan w:val="3"/>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1141" w:type="dxa"/>
                  <w:gridSpan w:val="5"/>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43" w:type="dxa"/>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609" w:type="dxa"/>
                  <w:gridSpan w:val="4"/>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669" w:type="dxa"/>
                  <w:gridSpan w:val="5"/>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39" w:type="dxa"/>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1099" w:type="dxa"/>
                  <w:gridSpan w:val="4"/>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998" w:type="dxa"/>
                  <w:gridSpan w:val="3"/>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1010" w:type="dxa"/>
                  <w:gridSpan w:val="6"/>
                  <w:tcBorders/>
                  <w:shd w:color="auto" w:fill="auto" w:val="clear"/>
                  <w:tcMar>
                    <w:left w:w="10" w:type="dxa"/>
                    <w:right w:w="10" w:type="dxa"/>
                  </w:tcMar>
                </w:tcPr>
                <w:p>
                  <w:pPr>
                    <w:pStyle w:val="Normal"/>
                    <w:widowControl/>
                    <w:suppressAutoHyphens w:val="false"/>
                    <w:spacing w:before="0" w:after="0"/>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r>
            <w:tr>
              <w:trPr>
                <w:trHeight w:val="510" w:hRule="atLeast"/>
              </w:trPr>
              <w:tc>
                <w:tcPr>
                  <w:tcW w:w="1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Lp.</w:t>
                  </w:r>
                </w:p>
              </w:tc>
              <w:tc>
                <w:tcPr>
                  <w:tcW w:w="709"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Nazwa grupy rodzajowej składnika aktywów trwałych</w:t>
                  </w:r>
                </w:p>
              </w:tc>
              <w:tc>
                <w:tcPr>
                  <w:tcW w:w="991"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Wartość poczatkowa - stan na poczatek roku obrotowego</w:t>
                  </w:r>
                </w:p>
              </w:tc>
              <w:tc>
                <w:tcPr>
                  <w:tcW w:w="1843" w:type="dxa"/>
                  <w:gridSpan w:val="9"/>
                  <w:tcBorders>
                    <w:top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Zwiększenie wartości poczatkowej</w:t>
                  </w:r>
                </w:p>
              </w:tc>
              <w:tc>
                <w:tcPr>
                  <w:tcW w:w="70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Ogółem zwiększenie wartości początkowej (4+5+6)</w:t>
                  </w:r>
                </w:p>
              </w:tc>
              <w:tc>
                <w:tcPr>
                  <w:tcW w:w="1701"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Zmniejszenie wartości początkowej</w:t>
                  </w:r>
                </w:p>
              </w:tc>
              <w:tc>
                <w:tcPr>
                  <w:tcW w:w="70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Ogółem zmniejszenie wartości poczatkowej                                                                                                                              (8+9+10)</w:t>
                  </w:r>
                </w:p>
              </w:tc>
              <w:tc>
                <w:tcPr>
                  <w:tcW w:w="992"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Wartość poczatkowa - stan na koniec roku obrotowego                                                                                                                                           (3+7-11)</w:t>
                  </w:r>
                </w:p>
              </w:tc>
              <w:tc>
                <w:tcPr>
                  <w:tcW w:w="849" w:type="dxa"/>
                  <w:gridSpan w:val="4"/>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Umorzenie - stan na początek roku obrotowego</w:t>
                  </w:r>
                </w:p>
              </w:tc>
              <w:tc>
                <w:tcPr>
                  <w:tcW w:w="1984"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Zwiększenia w ciągu roku obrotowego</w:t>
                  </w:r>
                </w:p>
              </w:tc>
              <w:tc>
                <w:tcPr>
                  <w:tcW w:w="707"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Ogółem zwiększenie umorzenia (14+15+16)</w:t>
                  </w:r>
                </w:p>
              </w:tc>
              <w:tc>
                <w:tcPr>
                  <w:tcW w:w="709" w:type="dxa"/>
                  <w:gridSpan w:val="5"/>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Zmniejszenie umorzenia</w:t>
                  </w:r>
                </w:p>
              </w:tc>
              <w:tc>
                <w:tcPr>
                  <w:tcW w:w="85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Umorzenie - stan na koniec roku obrotowego                                                                                                 (13+17-18)</w:t>
                  </w:r>
                </w:p>
              </w:tc>
              <w:tc>
                <w:tcPr>
                  <w:tcW w:w="1981" w:type="dxa"/>
                  <w:gridSpan w:val="7"/>
                  <w:tcBorders>
                    <w:top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Wartość netto składników aktywów</w:t>
                  </w:r>
                </w:p>
              </w:tc>
              <w:tc>
                <w:tcPr>
                  <w:tcW w:w="196" w:type="dxa"/>
                  <w:gridSpan w:val="2"/>
                  <w:tcBorders/>
                  <w:shd w:color="auto" w:fill="auto" w:val="clear"/>
                  <w:tcMar>
                    <w:left w:w="10" w:type="dxa"/>
                    <w:right w:w="10" w:type="dxa"/>
                  </w:tcMar>
                </w:tcPr>
                <w:p>
                  <w:pPr>
                    <w:pStyle w:val="Normal"/>
                    <w:widowControl/>
                    <w:suppressAutoHyphens w:val="false"/>
                    <w:spacing w:before="0" w:after="0"/>
                    <w:jc w:val="center"/>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624" w:type="dxa"/>
                  <w:gridSpan w:val="2"/>
                  <w:tcBorders/>
                  <w:shd w:color="auto" w:fill="auto" w:val="clear"/>
                  <w:tcMar>
                    <w:left w:w="10" w:type="dxa"/>
                    <w:right w:w="10" w:type="dxa"/>
                  </w:tcMar>
                </w:tcPr>
                <w:p>
                  <w:pPr>
                    <w:pStyle w:val="Normal"/>
                    <w:widowControl/>
                    <w:suppressAutoHyphens w:val="false"/>
                    <w:spacing w:before="0" w:after="0"/>
                    <w:jc w:val="center"/>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r>
            <w:tr>
              <w:trPr>
                <w:trHeight w:val="1695" w:hRule="atLeast"/>
              </w:trPr>
              <w:tc>
                <w:tcPr>
                  <w:tcW w:w="1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709"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991"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566" w:type="dxa"/>
                  <w:gridSpan w:val="3"/>
                  <w:tcBorders/>
                  <w:shd w:color="auto" w:fill="auto" w:val="clear"/>
                  <w:textDirection w:val="btL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Aktualizacja</w:t>
                  </w:r>
                </w:p>
              </w:tc>
              <w:tc>
                <w:tcPr>
                  <w:tcW w:w="708" w:type="dxa"/>
                  <w:gridSpan w:val="3"/>
                  <w:tcBorders>
                    <w:left w:val="single" w:sz="4" w:space="0" w:color="000000"/>
                    <w:bottom w:val="single" w:sz="4" w:space="0" w:color="000000"/>
                    <w:right w:val="single" w:sz="4" w:space="0" w:color="000000"/>
                  </w:tcBorders>
                  <w:shd w:color="auto" w:fill="auto" w:val="clear"/>
                  <w:textDirection w:val="btL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Przychody</w:t>
                  </w:r>
                </w:p>
              </w:tc>
              <w:tc>
                <w:tcPr>
                  <w:tcW w:w="566" w:type="dxa"/>
                  <w:gridSpan w:val="2"/>
                  <w:tcBorders/>
                  <w:shd w:color="auto" w:fill="auto" w:val="clear"/>
                  <w:textDirection w:val="btL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Przemieszczenie</w:t>
                  </w:r>
                </w:p>
              </w:tc>
              <w:tc>
                <w:tcPr>
                  <w:tcW w:w="70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566" w:type="dxa"/>
                  <w:gridSpan w:val="3"/>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Zbycie</w:t>
                  </w:r>
                </w:p>
              </w:tc>
              <w:tc>
                <w:tcPr>
                  <w:tcW w:w="707"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Likwidacja</w:t>
                  </w:r>
                </w:p>
              </w:tc>
              <w:tc>
                <w:tcPr>
                  <w:tcW w:w="425" w:type="dxa"/>
                  <w:gridSpan w:val="3"/>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Inne</w:t>
                  </w:r>
                </w:p>
              </w:tc>
              <w:tc>
                <w:tcPr>
                  <w:tcW w:w="70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992"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849" w:type="dxa"/>
                  <w:gridSpan w:val="4"/>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suppressAutoHyphens w:val="false"/>
                    <w:spacing w:before="0" w:after="0"/>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566" w:type="dxa"/>
                  <w:gridSpan w:val="2"/>
                  <w:tcBorders/>
                  <w:shd w:color="auto" w:fill="auto" w:val="clear"/>
                  <w:textDirection w:val="btL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Aktualizacja</w:t>
                  </w:r>
                </w:p>
              </w:tc>
              <w:tc>
                <w:tcPr>
                  <w:tcW w:w="707" w:type="dxa"/>
                  <w:gridSpan w:val="3"/>
                  <w:tcBorders>
                    <w:left w:val="single" w:sz="4" w:space="0" w:color="000000"/>
                    <w:bottom w:val="single" w:sz="4" w:space="0" w:color="000000"/>
                    <w:right w:val="single" w:sz="4" w:space="0" w:color="000000"/>
                  </w:tcBorders>
                  <w:shd w:color="auto" w:fill="auto" w:val="clear"/>
                  <w:textDirection w:val="btL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Amortyzacja za rok obrotowy</w:t>
                  </w:r>
                </w:p>
              </w:tc>
              <w:tc>
                <w:tcPr>
                  <w:tcW w:w="709" w:type="dxa"/>
                  <w:gridSpan w:val="3"/>
                  <w:tcBorders/>
                  <w:shd w:color="auto" w:fill="auto" w:val="clear"/>
                  <w:textDirection w:val="btL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Inne</w:t>
                  </w:r>
                </w:p>
              </w:tc>
              <w:tc>
                <w:tcPr>
                  <w:tcW w:w="707"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709" w:type="dxa"/>
                  <w:gridSpan w:val="5"/>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suppressAutoHyphens w:val="false"/>
                    <w:spacing w:before="0" w:after="0"/>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85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995"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Stan na poczatek roku obrotowego                                                                                                                                                                           (3-13)</w:t>
                  </w:r>
                </w:p>
              </w:tc>
              <w:tc>
                <w:tcPr>
                  <w:tcW w:w="984"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Stan na koniec roku obrotowego                                                                                                                                                                          (12-19)</w:t>
                  </w:r>
                </w:p>
              </w:tc>
              <w:tc>
                <w:tcPr>
                  <w:tcW w:w="196" w:type="dxa"/>
                  <w:gridSpan w:val="2"/>
                  <w:tcBorders/>
                  <w:shd w:color="auto" w:fill="auto" w:val="clear"/>
                  <w:tcMar>
                    <w:left w:w="10" w:type="dxa"/>
                    <w:right w:w="10" w:type="dxa"/>
                  </w:tcMar>
                </w:tcPr>
                <w:p>
                  <w:pPr>
                    <w:pStyle w:val="Normal"/>
                    <w:widowControl/>
                    <w:suppressAutoHyphens w:val="false"/>
                    <w:spacing w:before="0" w:after="0"/>
                    <w:jc w:val="center"/>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633" w:type="dxa"/>
                  <w:gridSpan w:val="3"/>
                  <w:tcBorders/>
                  <w:shd w:color="auto" w:fill="auto" w:val="clear"/>
                  <w:tcMar>
                    <w:left w:w="10" w:type="dxa"/>
                    <w:right w:w="10" w:type="dxa"/>
                  </w:tcMar>
                </w:tcPr>
                <w:p>
                  <w:pPr>
                    <w:pStyle w:val="Normal"/>
                    <w:widowControl/>
                    <w:suppressAutoHyphens w:val="false"/>
                    <w:spacing w:before="0" w:after="0"/>
                    <w:jc w:val="center"/>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r>
            <w:tr>
              <w:trPr>
                <w:trHeight w:val="199" w:hRule="atLeast"/>
              </w:trPr>
              <w:tc>
                <w:tcPr>
                  <w:tcW w:w="168"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1</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2</w:t>
                  </w:r>
                </w:p>
              </w:tc>
              <w:tc>
                <w:tcPr>
                  <w:tcW w:w="991"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3</w:t>
                  </w:r>
                </w:p>
              </w:tc>
              <w:tc>
                <w:tcPr>
                  <w:tcW w:w="56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4</w:t>
                  </w:r>
                </w:p>
              </w:tc>
              <w:tc>
                <w:tcPr>
                  <w:tcW w:w="708"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5</w:t>
                  </w:r>
                </w:p>
              </w:tc>
              <w:tc>
                <w:tcPr>
                  <w:tcW w:w="566"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6</w:t>
                  </w:r>
                </w:p>
              </w:tc>
              <w:tc>
                <w:tcPr>
                  <w:tcW w:w="707"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7</w:t>
                  </w:r>
                </w:p>
              </w:tc>
              <w:tc>
                <w:tcPr>
                  <w:tcW w:w="56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8</w:t>
                  </w:r>
                </w:p>
              </w:tc>
              <w:tc>
                <w:tcPr>
                  <w:tcW w:w="707"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9</w:t>
                  </w:r>
                </w:p>
              </w:tc>
              <w:tc>
                <w:tcPr>
                  <w:tcW w:w="42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10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11</w:t>
                  </w:r>
                </w:p>
              </w:tc>
              <w:tc>
                <w:tcPr>
                  <w:tcW w:w="992"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12</w:t>
                  </w:r>
                </w:p>
              </w:tc>
              <w:tc>
                <w:tcPr>
                  <w:tcW w:w="849"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13</w:t>
                  </w:r>
                </w:p>
              </w:tc>
              <w:tc>
                <w:tcPr>
                  <w:tcW w:w="566"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14</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15</w:t>
                  </w:r>
                </w:p>
              </w:tc>
              <w:tc>
                <w:tcPr>
                  <w:tcW w:w="709"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16</w:t>
                  </w:r>
                </w:p>
              </w:tc>
              <w:tc>
                <w:tcPr>
                  <w:tcW w:w="707" w:type="dxa"/>
                  <w:gridSpan w:val="7"/>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17</w:t>
                  </w:r>
                </w:p>
              </w:tc>
              <w:tc>
                <w:tcPr>
                  <w:tcW w:w="709" w:type="dxa"/>
                  <w:gridSpan w:val="5"/>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18</w:t>
                  </w:r>
                </w:p>
              </w:tc>
              <w:tc>
                <w:tcPr>
                  <w:tcW w:w="851"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19</w:t>
                  </w:r>
                </w:p>
              </w:tc>
              <w:tc>
                <w:tcPr>
                  <w:tcW w:w="995"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20</w:t>
                  </w:r>
                </w:p>
              </w:tc>
              <w:tc>
                <w:tcPr>
                  <w:tcW w:w="984"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i/>
                      <w:iCs/>
                      <w:color w:val="auto"/>
                      <w:kern w:val="0"/>
                      <w:sz w:val="24"/>
                      <w:szCs w:val="24"/>
                      <w:lang w:eastAsia="pl-PL"/>
                    </w:rPr>
                    <w:t>21</w:t>
                  </w:r>
                </w:p>
              </w:tc>
              <w:tc>
                <w:tcPr>
                  <w:tcW w:w="196" w:type="dxa"/>
                  <w:gridSpan w:val="2"/>
                  <w:tcBorders/>
                  <w:shd w:color="auto" w:fill="auto" w:val="clear"/>
                  <w:tcMar>
                    <w:left w:w="10" w:type="dxa"/>
                    <w:right w:w="10" w:type="dxa"/>
                  </w:tcMar>
                </w:tcPr>
                <w:p>
                  <w:pPr>
                    <w:pStyle w:val="Normal"/>
                    <w:widowControl/>
                    <w:suppressAutoHyphens w:val="false"/>
                    <w:spacing w:before="0" w:after="0"/>
                    <w:jc w:val="center"/>
                    <w:textAlignment w:val="auto"/>
                    <w:rPr>
                      <w:rFonts w:ascii="Arial" w:hAnsi="Arial" w:eastAsia="Times New Roman" w:cs="Calibri"/>
                      <w:i/>
                      <w:i/>
                      <w:iCs/>
                      <w:color w:val="auto"/>
                      <w:kern w:val="0"/>
                      <w:sz w:val="24"/>
                      <w:szCs w:val="24"/>
                      <w:lang w:eastAsia="pl-PL"/>
                    </w:rPr>
                  </w:pPr>
                  <w:r>
                    <w:rPr>
                      <w:rFonts w:eastAsia="Times New Roman" w:cs="Calibri" w:ascii="Arial" w:hAnsi="Arial"/>
                      <w:i/>
                      <w:iCs/>
                      <w:color w:val="auto"/>
                      <w:kern w:val="0"/>
                      <w:sz w:val="24"/>
                      <w:szCs w:val="24"/>
                      <w:lang w:eastAsia="pl-PL"/>
                    </w:rPr>
                  </w:r>
                </w:p>
              </w:tc>
              <w:tc>
                <w:tcPr>
                  <w:tcW w:w="633" w:type="dxa"/>
                  <w:gridSpan w:val="3"/>
                  <w:tcBorders/>
                  <w:shd w:color="auto" w:fill="auto" w:val="clear"/>
                  <w:tcMar>
                    <w:left w:w="10" w:type="dxa"/>
                    <w:right w:w="10" w:type="dxa"/>
                  </w:tcMar>
                </w:tcPr>
                <w:p>
                  <w:pPr>
                    <w:pStyle w:val="Normal"/>
                    <w:widowControl/>
                    <w:suppressAutoHyphens w:val="false"/>
                    <w:spacing w:before="0" w:after="0"/>
                    <w:jc w:val="center"/>
                    <w:textAlignment w:val="auto"/>
                    <w:rPr>
                      <w:rFonts w:ascii="Arial" w:hAnsi="Arial" w:eastAsia="Times New Roman" w:cs="Calibri"/>
                      <w:i/>
                      <w:i/>
                      <w:iCs/>
                      <w:color w:val="auto"/>
                      <w:kern w:val="0"/>
                      <w:sz w:val="24"/>
                      <w:szCs w:val="24"/>
                      <w:lang w:eastAsia="pl-PL"/>
                    </w:rPr>
                  </w:pPr>
                  <w:r>
                    <w:rPr>
                      <w:rFonts w:eastAsia="Times New Roman" w:cs="Calibri" w:ascii="Arial" w:hAnsi="Arial"/>
                      <w:i/>
                      <w:iCs/>
                      <w:color w:val="auto"/>
                      <w:kern w:val="0"/>
                      <w:sz w:val="24"/>
                      <w:szCs w:val="24"/>
                      <w:lang w:eastAsia="pl-PL"/>
                    </w:rPr>
                  </w:r>
                </w:p>
              </w:tc>
            </w:tr>
            <w:tr>
              <w:trPr>
                <w:trHeight w:val="810" w:hRule="atLeast"/>
              </w:trPr>
              <w:tc>
                <w:tcPr>
                  <w:tcW w:w="168"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b/>
                      <w:bCs/>
                      <w:color w:val="auto"/>
                      <w:kern w:val="0"/>
                      <w:sz w:val="24"/>
                      <w:szCs w:val="24"/>
                      <w:lang w:eastAsia="pl-PL"/>
                    </w:rPr>
                    <w:t>1.</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Wartości niematerialne                          i prawne</w:t>
                  </w:r>
                </w:p>
              </w:tc>
              <w:tc>
                <w:tcPr>
                  <w:tcW w:w="991"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8 229,98</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8"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1 305,00</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1 305,00</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425"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992"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9 534,98</w:t>
                  </w:r>
                </w:p>
              </w:tc>
              <w:tc>
                <w:tcPr>
                  <w:tcW w:w="849"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8 229,98</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1 305,00</w:t>
                  </w:r>
                </w:p>
                <w:p>
                  <w:pPr>
                    <w:pStyle w:val="Normal"/>
                    <w:widowControl/>
                    <w:suppressAutoHyphens w:val="false"/>
                    <w:spacing w:before="0" w:after="0"/>
                    <w:jc w:val="center"/>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7"/>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1 305,00</w:t>
                  </w:r>
                </w:p>
              </w:tc>
              <w:tc>
                <w:tcPr>
                  <w:tcW w:w="709" w:type="dxa"/>
                  <w:gridSpan w:val="5"/>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851"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9 534,98</w:t>
                  </w:r>
                </w:p>
              </w:tc>
              <w:tc>
                <w:tcPr>
                  <w:tcW w:w="995"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984"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196" w:type="dxa"/>
                  <w:gridSpan w:val="2"/>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633" w:type="dxa"/>
                  <w:gridSpan w:val="3"/>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r>
            <w:tr>
              <w:trPr>
                <w:trHeight w:val="540" w:hRule="atLeast"/>
              </w:trPr>
              <w:tc>
                <w:tcPr>
                  <w:tcW w:w="168"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b/>
                      <w:bCs/>
                      <w:color w:val="auto"/>
                      <w:kern w:val="0"/>
                      <w:sz w:val="24"/>
                      <w:szCs w:val="24"/>
                      <w:lang w:eastAsia="pl-PL"/>
                    </w:rPr>
                    <w:t>2.</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Środki trwałe</w:t>
                  </w:r>
                </w:p>
              </w:tc>
              <w:tc>
                <w:tcPr>
                  <w:tcW w:w="991"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xml:space="preserve">     </w:t>
                  </w:r>
                  <w:r>
                    <w:rPr>
                      <w:rFonts w:eastAsia="Times New Roman" w:cs="Calibri" w:ascii="Arial" w:hAnsi="Arial"/>
                      <w:b/>
                      <w:bCs/>
                      <w:color w:val="auto"/>
                      <w:kern w:val="0"/>
                      <w:sz w:val="24"/>
                      <w:szCs w:val="24"/>
                      <w:lang w:eastAsia="pl-PL"/>
                    </w:rPr>
                    <w:t>2 691 431,35</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8"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425"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992"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b/>
                      <w:bCs/>
                      <w:color w:val="auto"/>
                      <w:kern w:val="0"/>
                      <w:sz w:val="24"/>
                      <w:szCs w:val="24"/>
                      <w:lang w:eastAsia="pl-PL"/>
                    </w:rPr>
                    <w:t xml:space="preserve">     </w:t>
                  </w:r>
                  <w:r>
                    <w:rPr>
                      <w:rFonts w:eastAsia="Times New Roman" w:cs="Calibri" w:ascii="Arial" w:hAnsi="Arial"/>
                      <w:b/>
                      <w:bCs/>
                      <w:color w:val="auto"/>
                      <w:kern w:val="0"/>
                      <w:sz w:val="24"/>
                      <w:szCs w:val="24"/>
                      <w:lang w:eastAsia="pl-PL"/>
                    </w:rPr>
                    <w:t>2 691 431,35</w:t>
                  </w:r>
                </w:p>
              </w:tc>
              <w:tc>
                <w:tcPr>
                  <w:tcW w:w="849"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683 196,21</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64 854,54</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7"/>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64 854,54</w:t>
                  </w:r>
                </w:p>
              </w:tc>
              <w:tc>
                <w:tcPr>
                  <w:tcW w:w="709" w:type="dxa"/>
                  <w:gridSpan w:val="5"/>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851"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748 050,75</w:t>
                  </w:r>
                </w:p>
              </w:tc>
              <w:tc>
                <w:tcPr>
                  <w:tcW w:w="995"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2 008 235,14</w:t>
                  </w:r>
                </w:p>
              </w:tc>
              <w:tc>
                <w:tcPr>
                  <w:tcW w:w="984"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1 943 380,60</w:t>
                  </w:r>
                </w:p>
              </w:tc>
              <w:tc>
                <w:tcPr>
                  <w:tcW w:w="196" w:type="dxa"/>
                  <w:gridSpan w:val="2"/>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633" w:type="dxa"/>
                  <w:gridSpan w:val="3"/>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r>
            <w:tr>
              <w:trPr>
                <w:trHeight w:val="405" w:hRule="atLeast"/>
              </w:trPr>
              <w:tc>
                <w:tcPr>
                  <w:tcW w:w="168"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1)</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color w:val="auto"/>
                      <w:kern w:val="0"/>
                      <w:sz w:val="24"/>
                      <w:szCs w:val="24"/>
                      <w:lang w:eastAsia="pl-PL"/>
                    </w:rPr>
                    <w:t>grunty</w:t>
                  </w:r>
                </w:p>
              </w:tc>
              <w:tc>
                <w:tcPr>
                  <w:tcW w:w="991"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91 875,36</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8"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425"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992"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91 875,36</w:t>
                  </w:r>
                </w:p>
              </w:tc>
              <w:tc>
                <w:tcPr>
                  <w:tcW w:w="849"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0,00 </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 </w:t>
                  </w:r>
                  <w:r>
                    <w:rPr>
                      <w:rFonts w:eastAsia="Times New Roman" w:cs="Calibri" w:ascii="Arial" w:hAnsi="Arial"/>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0,00 </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0,00 </w:t>
                  </w:r>
                </w:p>
              </w:tc>
              <w:tc>
                <w:tcPr>
                  <w:tcW w:w="707" w:type="dxa"/>
                  <w:gridSpan w:val="7"/>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9" w:type="dxa"/>
                  <w:gridSpan w:val="5"/>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0,00 </w:t>
                  </w:r>
                </w:p>
              </w:tc>
              <w:tc>
                <w:tcPr>
                  <w:tcW w:w="851"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995"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91 875,36</w:t>
                  </w:r>
                </w:p>
              </w:tc>
              <w:tc>
                <w:tcPr>
                  <w:tcW w:w="984"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91 875,36</w:t>
                  </w:r>
                </w:p>
              </w:tc>
              <w:tc>
                <w:tcPr>
                  <w:tcW w:w="196" w:type="dxa"/>
                  <w:gridSpan w:val="2"/>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633" w:type="dxa"/>
                  <w:gridSpan w:val="3"/>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r>
            <w:tr>
              <w:trPr>
                <w:trHeight w:val="765" w:hRule="atLeast"/>
              </w:trPr>
              <w:tc>
                <w:tcPr>
                  <w:tcW w:w="168"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2)</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color w:val="auto"/>
                      <w:kern w:val="0"/>
                      <w:sz w:val="24"/>
                      <w:szCs w:val="24"/>
                      <w:lang w:eastAsia="pl-PL"/>
                    </w:rPr>
                    <w:t>budynki, lokale i obiekty inżynierii lądowej i wodnej</w:t>
                  </w:r>
                </w:p>
              </w:tc>
              <w:tc>
                <w:tcPr>
                  <w:tcW w:w="991"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2 547 797,13</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8"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425"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992"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2 547 797,13</w:t>
                  </w:r>
                </w:p>
              </w:tc>
              <w:tc>
                <w:tcPr>
                  <w:tcW w:w="849"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637 135,46</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63 633,52</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7"/>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63 633,52</w:t>
                  </w:r>
                </w:p>
              </w:tc>
              <w:tc>
                <w:tcPr>
                  <w:tcW w:w="709" w:type="dxa"/>
                  <w:gridSpan w:val="5"/>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851"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700 768,98</w:t>
                  </w:r>
                </w:p>
              </w:tc>
              <w:tc>
                <w:tcPr>
                  <w:tcW w:w="995"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1 910 661,67</w:t>
                  </w:r>
                </w:p>
              </w:tc>
              <w:tc>
                <w:tcPr>
                  <w:tcW w:w="984"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1 847 028,15</w:t>
                  </w:r>
                </w:p>
              </w:tc>
              <w:tc>
                <w:tcPr>
                  <w:tcW w:w="196" w:type="dxa"/>
                  <w:gridSpan w:val="2"/>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633" w:type="dxa"/>
                  <w:gridSpan w:val="3"/>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r>
            <w:tr>
              <w:trPr>
                <w:trHeight w:val="765" w:hRule="atLeast"/>
              </w:trPr>
              <w:tc>
                <w:tcPr>
                  <w:tcW w:w="168"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3)</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color w:val="auto"/>
                      <w:kern w:val="0"/>
                      <w:sz w:val="24"/>
                      <w:szCs w:val="24"/>
                      <w:lang w:eastAsia="pl-PL"/>
                    </w:rPr>
                    <w:t>urządzenia techniczne i maszyny</w:t>
                  </w:r>
                </w:p>
              </w:tc>
              <w:tc>
                <w:tcPr>
                  <w:tcW w:w="991"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38 096,82</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8"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425"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center"/>
                    <w:textAlignment w:val="auto"/>
                    <w:rPr>
                      <w:rFonts w:ascii="Arial" w:hAnsi="Arial"/>
                      <w:color w:val="auto"/>
                      <w:sz w:val="24"/>
                      <w:szCs w:val="24"/>
                    </w:rPr>
                  </w:pPr>
                  <w:r>
                    <w:rPr>
                      <w:rFonts w:eastAsia="Times New Roman" w:cs="Calibri" w:ascii="Arial" w:hAnsi="Arial"/>
                      <w:color w:val="auto"/>
                      <w:kern w:val="0"/>
                      <w:sz w:val="24"/>
                      <w:szCs w:val="24"/>
                      <w:lang w:eastAsia="pl-PL"/>
                    </w:rPr>
                    <w:t xml:space="preserve">               </w:t>
                  </w:r>
                  <w:r>
                    <w:rPr>
                      <w:rFonts w:eastAsia="Times New Roman" w:cs="Calibri" w:ascii="Arial" w:hAnsi="Arial"/>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992"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38 096,82</w:t>
                  </w:r>
                </w:p>
              </w:tc>
              <w:tc>
                <w:tcPr>
                  <w:tcW w:w="849"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32 398,71</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1 221,02</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7"/>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1 221,02</w:t>
                  </w:r>
                </w:p>
              </w:tc>
              <w:tc>
                <w:tcPr>
                  <w:tcW w:w="709" w:type="dxa"/>
                  <w:gridSpan w:val="5"/>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851"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33 619,73</w:t>
                  </w:r>
                </w:p>
              </w:tc>
              <w:tc>
                <w:tcPr>
                  <w:tcW w:w="995"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5 698,11</w:t>
                  </w:r>
                </w:p>
              </w:tc>
              <w:tc>
                <w:tcPr>
                  <w:tcW w:w="984"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4 477,09</w:t>
                  </w:r>
                </w:p>
              </w:tc>
              <w:tc>
                <w:tcPr>
                  <w:tcW w:w="196" w:type="dxa"/>
                  <w:gridSpan w:val="2"/>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633" w:type="dxa"/>
                  <w:gridSpan w:val="3"/>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r>
            <w:tr>
              <w:trPr>
                <w:trHeight w:val="330" w:hRule="atLeast"/>
              </w:trPr>
              <w:tc>
                <w:tcPr>
                  <w:tcW w:w="168"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4)</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color w:val="auto"/>
                      <w:kern w:val="0"/>
                      <w:sz w:val="24"/>
                      <w:szCs w:val="24"/>
                      <w:lang w:eastAsia="pl-PL"/>
                    </w:rPr>
                    <w:t>środki transportu</w:t>
                  </w:r>
                </w:p>
              </w:tc>
              <w:tc>
                <w:tcPr>
                  <w:tcW w:w="991"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13 662,04</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8"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425"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992"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13 662,04</w:t>
                  </w:r>
                </w:p>
              </w:tc>
              <w:tc>
                <w:tcPr>
                  <w:tcW w:w="849"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13 662,04</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7"/>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9" w:type="dxa"/>
                  <w:gridSpan w:val="5"/>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851"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13 662,04</w:t>
                  </w:r>
                </w:p>
              </w:tc>
              <w:tc>
                <w:tcPr>
                  <w:tcW w:w="995"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984"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196" w:type="dxa"/>
                  <w:gridSpan w:val="2"/>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633" w:type="dxa"/>
                  <w:gridSpan w:val="3"/>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r>
            <w:tr>
              <w:trPr>
                <w:trHeight w:val="510" w:hRule="atLeast"/>
              </w:trPr>
              <w:tc>
                <w:tcPr>
                  <w:tcW w:w="168"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5)</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color w:val="auto"/>
                      <w:kern w:val="0"/>
                      <w:sz w:val="24"/>
                      <w:szCs w:val="24"/>
                      <w:lang w:eastAsia="pl-PL"/>
                    </w:rPr>
                    <w:t>inne środki trwałe</w:t>
                  </w:r>
                </w:p>
              </w:tc>
              <w:tc>
                <w:tcPr>
                  <w:tcW w:w="991"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8"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425"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992"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849"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7" w:type="dxa"/>
                  <w:gridSpan w:val="7"/>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709" w:type="dxa"/>
                  <w:gridSpan w:val="5"/>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851"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995"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984"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color w:val="auto"/>
                      <w:kern w:val="0"/>
                      <w:sz w:val="24"/>
                      <w:szCs w:val="24"/>
                      <w:lang w:eastAsia="pl-PL"/>
                    </w:rPr>
                    <w:t>0,00</w:t>
                  </w:r>
                </w:p>
              </w:tc>
              <w:tc>
                <w:tcPr>
                  <w:tcW w:w="196" w:type="dxa"/>
                  <w:gridSpan w:val="2"/>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c>
                <w:tcPr>
                  <w:tcW w:w="633" w:type="dxa"/>
                  <w:gridSpan w:val="3"/>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color w:val="auto"/>
                      <w:kern w:val="0"/>
                      <w:sz w:val="24"/>
                      <w:szCs w:val="24"/>
                      <w:lang w:eastAsia="pl-PL"/>
                    </w:rPr>
                  </w:pPr>
                  <w:r>
                    <w:rPr>
                      <w:rFonts w:eastAsia="Times New Roman" w:cs="Calibri" w:ascii="Arial" w:hAnsi="Arial"/>
                      <w:color w:val="auto"/>
                      <w:kern w:val="0"/>
                      <w:sz w:val="24"/>
                      <w:szCs w:val="24"/>
                      <w:lang w:eastAsia="pl-PL"/>
                    </w:rPr>
                  </w:r>
                </w:p>
              </w:tc>
            </w:tr>
            <w:tr>
              <w:trPr>
                <w:trHeight w:val="454" w:hRule="atLeast"/>
              </w:trPr>
              <w:tc>
                <w:tcPr>
                  <w:tcW w:w="168"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i/>
                      <w:iCs/>
                      <w:color w:val="auto"/>
                      <w:kern w:val="0"/>
                      <w:sz w:val="24"/>
                      <w:szCs w:val="24"/>
                      <w:lang w:eastAsia="pl-PL"/>
                    </w:rPr>
                    <w:t> </w:t>
                  </w:r>
                </w:p>
              </w:tc>
              <w:tc>
                <w:tcPr>
                  <w:tcW w:w="709" w:type="dxa"/>
                  <w:gridSpan w:val="3"/>
                  <w:tcBorders>
                    <w:bottom w:val="single" w:sz="4" w:space="0" w:color="000000"/>
                    <w:right w:val="single" w:sz="4" w:space="0" w:color="000000"/>
                  </w:tcBorders>
                  <w:shd w:color="auto" w:fill="auto" w:val="clear"/>
                  <w:vAlign w:val="bottom"/>
                </w:tcPr>
                <w:p>
                  <w:pPr>
                    <w:pStyle w:val="Normal"/>
                    <w:widowControl/>
                    <w:suppressAutoHyphens w:val="false"/>
                    <w:spacing w:before="0" w:after="0"/>
                    <w:textAlignment w:val="auto"/>
                    <w:rPr>
                      <w:rFonts w:ascii="Arial" w:hAnsi="Arial"/>
                      <w:color w:val="auto"/>
                      <w:sz w:val="24"/>
                      <w:szCs w:val="24"/>
                    </w:rPr>
                  </w:pPr>
                  <w:r>
                    <w:rPr>
                      <w:rFonts w:eastAsia="Times New Roman" w:cs="Calibri" w:ascii="Arial" w:hAnsi="Arial"/>
                      <w:color w:val="auto"/>
                      <w:kern w:val="0"/>
                      <w:sz w:val="24"/>
                      <w:szCs w:val="24"/>
                      <w:lang w:eastAsia="pl-PL"/>
                    </w:rPr>
                    <w:t> </w:t>
                  </w:r>
                </w:p>
              </w:tc>
              <w:tc>
                <w:tcPr>
                  <w:tcW w:w="991"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2 699 661,33</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8"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1 305,00</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1 305,00</w:t>
                  </w:r>
                </w:p>
              </w:tc>
              <w:tc>
                <w:tcPr>
                  <w:tcW w:w="566"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425"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992"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2 700 966,33</w:t>
                  </w:r>
                </w:p>
              </w:tc>
              <w:tc>
                <w:tcPr>
                  <w:tcW w:w="849"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691 426,19</w:t>
                  </w:r>
                </w:p>
              </w:tc>
              <w:tc>
                <w:tcPr>
                  <w:tcW w:w="566" w:type="dxa"/>
                  <w:gridSpan w:val="2"/>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66 159,54</w:t>
                  </w:r>
                </w:p>
              </w:tc>
              <w:tc>
                <w:tcPr>
                  <w:tcW w:w="709"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707" w:type="dxa"/>
                  <w:gridSpan w:val="7"/>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66 159,54</w:t>
                  </w:r>
                </w:p>
              </w:tc>
              <w:tc>
                <w:tcPr>
                  <w:tcW w:w="709" w:type="dxa"/>
                  <w:gridSpan w:val="5"/>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0,00</w:t>
                  </w:r>
                </w:p>
              </w:tc>
              <w:tc>
                <w:tcPr>
                  <w:tcW w:w="851"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757 585,73</w:t>
                  </w:r>
                </w:p>
              </w:tc>
              <w:tc>
                <w:tcPr>
                  <w:tcW w:w="995" w:type="dxa"/>
                  <w:gridSpan w:val="4"/>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2 008 235,14</w:t>
                  </w:r>
                </w:p>
              </w:tc>
              <w:tc>
                <w:tcPr>
                  <w:tcW w:w="984" w:type="dxa"/>
                  <w:gridSpan w:val="3"/>
                  <w:tcBorders>
                    <w:bottom w:val="single" w:sz="4" w:space="0" w:color="000000"/>
                    <w:right w:val="single" w:sz="4" w:space="0" w:color="000000"/>
                  </w:tcBorders>
                  <w:shd w:color="auto" w:fill="auto" w:val="clear"/>
                  <w:vAlign w:val="center"/>
                </w:tcPr>
                <w:p>
                  <w:pPr>
                    <w:pStyle w:val="Normal"/>
                    <w:widowControl/>
                    <w:suppressAutoHyphens w:val="false"/>
                    <w:spacing w:before="0" w:after="0"/>
                    <w:jc w:val="right"/>
                    <w:textAlignment w:val="auto"/>
                    <w:rPr>
                      <w:rFonts w:ascii="Arial" w:hAnsi="Arial"/>
                      <w:color w:val="auto"/>
                      <w:sz w:val="24"/>
                      <w:szCs w:val="24"/>
                    </w:rPr>
                  </w:pPr>
                  <w:r>
                    <w:rPr>
                      <w:rFonts w:eastAsia="Times New Roman" w:cs="Calibri" w:ascii="Arial" w:hAnsi="Arial"/>
                      <w:b/>
                      <w:bCs/>
                      <w:color w:val="auto"/>
                      <w:kern w:val="0"/>
                      <w:sz w:val="24"/>
                      <w:szCs w:val="24"/>
                      <w:lang w:eastAsia="pl-PL"/>
                    </w:rPr>
                    <w:t>1 943 380,60</w:t>
                  </w:r>
                </w:p>
              </w:tc>
              <w:tc>
                <w:tcPr>
                  <w:tcW w:w="196" w:type="dxa"/>
                  <w:gridSpan w:val="2"/>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c>
                <w:tcPr>
                  <w:tcW w:w="633" w:type="dxa"/>
                  <w:gridSpan w:val="3"/>
                  <w:tcBorders/>
                  <w:shd w:color="auto" w:fill="auto" w:val="clear"/>
                  <w:tcMar>
                    <w:left w:w="10" w:type="dxa"/>
                    <w:right w:w="10" w:type="dxa"/>
                  </w:tcMar>
                </w:tcPr>
                <w:p>
                  <w:pPr>
                    <w:pStyle w:val="Normal"/>
                    <w:widowControl/>
                    <w:suppressAutoHyphens w:val="false"/>
                    <w:spacing w:before="0" w:after="0"/>
                    <w:jc w:val="right"/>
                    <w:textAlignment w:val="auto"/>
                    <w:rPr>
                      <w:rFonts w:ascii="Arial" w:hAnsi="Arial" w:eastAsia="Times New Roman" w:cs="Calibri"/>
                      <w:b/>
                      <w:b/>
                      <w:bCs/>
                      <w:color w:val="auto"/>
                      <w:kern w:val="0"/>
                      <w:sz w:val="24"/>
                      <w:szCs w:val="24"/>
                      <w:lang w:eastAsia="pl-PL"/>
                    </w:rPr>
                  </w:pPr>
                  <w:r>
                    <w:rPr>
                      <w:rFonts w:eastAsia="Times New Roman" w:cs="Calibri" w:ascii="Arial" w:hAnsi="Arial"/>
                      <w:b/>
                      <w:bCs/>
                      <w:color w:val="auto"/>
                      <w:kern w:val="0"/>
                      <w:sz w:val="24"/>
                      <w:szCs w:val="24"/>
                      <w:lang w:eastAsia="pl-PL"/>
                    </w:rPr>
                  </w:r>
                </w:p>
              </w:tc>
            </w:tr>
          </w:tbl>
          <w:p>
            <w:pPr>
              <w:pStyle w:val="Standard"/>
              <w:widowControl w:val="false"/>
              <w:spacing w:before="47" w:after="0"/>
              <w:ind w:right="40" w:hanging="0"/>
              <w:jc w:val="both"/>
              <w:rPr>
                <w:rFonts w:ascii="Arial" w:hAnsi="Arial"/>
                <w:color w:val="auto"/>
                <w:sz w:val="24"/>
                <w:szCs w:val="24"/>
              </w:rPr>
            </w:pPr>
            <w:r>
              <w:rPr>
                <w:rFonts w:ascii="Arial" w:hAnsi="Arial"/>
                <w:color w:val="auto"/>
                <w:sz w:val="24"/>
                <w:szCs w:val="24"/>
              </w:rPr>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cs="Calibri" w:ascii="Arial" w:hAnsi="Arial"/>
                <w:color w:val="auto"/>
                <w:sz w:val="24"/>
                <w:szCs w:val="24"/>
              </w:rPr>
              <w:t>1.2</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cs="Calibri" w:ascii="Arial" w:hAnsi="Arial"/>
                <w:color w:val="auto"/>
                <w:sz w:val="24"/>
                <w:szCs w:val="24"/>
              </w:rPr>
              <w:t>1.3</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cs="Calibri" w:ascii="Arial" w:hAnsi="Arial"/>
                <w:color w:val="auto"/>
                <w:sz w:val="24"/>
                <w:szCs w:val="24"/>
              </w:rPr>
              <w:t>1.4</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wartość gruntów użytkowanych wieczyście</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cs="Calibri" w:ascii="Arial" w:hAnsi="Arial"/>
                <w:color w:val="auto"/>
                <w:sz w:val="24"/>
                <w:szCs w:val="24"/>
              </w:rPr>
              <w:t>1.5</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1.6.</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20" w:hanging="0"/>
              <w:rPr>
                <w:rFonts w:ascii="Arial" w:hAnsi="Arial"/>
                <w:color w:val="auto"/>
                <w:sz w:val="24"/>
                <w:szCs w:val="24"/>
              </w:rPr>
            </w:pPr>
            <w:r>
              <w:rPr>
                <w:rFonts w:ascii="Arial" w:hAnsi="Arial"/>
                <w:color w:val="auto"/>
                <w:sz w:val="24"/>
                <w:szCs w:val="24"/>
              </w:rPr>
              <w:t>1.7.</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20" w:hanging="0"/>
              <w:rPr>
                <w:rFonts w:ascii="Arial" w:hAnsi="Arial"/>
                <w:color w:val="auto"/>
                <w:sz w:val="24"/>
                <w:szCs w:val="24"/>
              </w:rPr>
            </w:pPr>
            <w:r>
              <w:rPr>
                <w:rFonts w:ascii="Arial" w:hAnsi="Arial"/>
                <w:color w:val="auto"/>
                <w:sz w:val="24"/>
                <w:szCs w:val="24"/>
              </w:rPr>
              <w:t>1.8.</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20" w:hanging="0"/>
              <w:rPr>
                <w:rFonts w:ascii="Arial" w:hAnsi="Arial"/>
                <w:color w:val="auto"/>
                <w:sz w:val="24"/>
                <w:szCs w:val="24"/>
              </w:rPr>
            </w:pPr>
            <w:r>
              <w:rPr>
                <w:rFonts w:ascii="Arial" w:hAnsi="Arial"/>
                <w:color w:val="auto"/>
                <w:sz w:val="24"/>
                <w:szCs w:val="24"/>
              </w:rPr>
              <w:t>1.9.</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20" w:hanging="0"/>
              <w:rPr>
                <w:rFonts w:ascii="Arial" w:hAnsi="Arial"/>
                <w:color w:val="auto"/>
                <w:sz w:val="24"/>
                <w:szCs w:val="24"/>
              </w:rPr>
            </w:pPr>
            <w:r>
              <w:rPr>
                <w:rFonts w:ascii="Arial" w:hAnsi="Arial"/>
                <w:color w:val="auto"/>
                <w:sz w:val="24"/>
                <w:szCs w:val="24"/>
              </w:rPr>
              <w:t>a)</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20" w:hanging="0"/>
              <w:rPr>
                <w:rFonts w:ascii="Arial" w:hAnsi="Arial"/>
                <w:color w:val="auto"/>
                <w:sz w:val="24"/>
                <w:szCs w:val="24"/>
              </w:rPr>
            </w:pPr>
            <w:r>
              <w:rPr>
                <w:rFonts w:ascii="Arial" w:hAnsi="Arial"/>
                <w:color w:val="auto"/>
                <w:sz w:val="24"/>
                <w:szCs w:val="24"/>
              </w:rPr>
              <w:t>powyżej 1 roku do 3 lat</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20" w:hanging="0"/>
              <w:rPr>
                <w:rFonts w:ascii="Arial" w:hAnsi="Arial"/>
                <w:color w:val="auto"/>
                <w:sz w:val="24"/>
                <w:szCs w:val="24"/>
              </w:rPr>
            </w:pPr>
            <w:r>
              <w:rPr>
                <w:rFonts w:ascii="Arial" w:hAnsi="Arial"/>
                <w:color w:val="auto"/>
                <w:sz w:val="24"/>
                <w:szCs w:val="24"/>
              </w:rPr>
              <w:t>b)</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20" w:hanging="0"/>
              <w:rPr>
                <w:rFonts w:ascii="Arial" w:hAnsi="Arial"/>
                <w:color w:val="auto"/>
                <w:sz w:val="24"/>
                <w:szCs w:val="24"/>
              </w:rPr>
            </w:pPr>
            <w:r>
              <w:rPr>
                <w:rFonts w:ascii="Arial" w:hAnsi="Arial"/>
                <w:color w:val="auto"/>
                <w:sz w:val="24"/>
                <w:szCs w:val="24"/>
              </w:rPr>
              <w:t>powyżej 3 do 5 lat</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c)</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powyżej 5 lat</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1.10.</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1.11.</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1.12.</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1.13.</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1.14.</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1.15.</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color w:val="auto"/>
                <w:sz w:val="24"/>
                <w:szCs w:val="24"/>
              </w:rPr>
              <w:t xml:space="preserve">70 879,70  zł         </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1.16.</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inne informacje</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numPr>
                <w:ilvl w:val="0"/>
                <w:numId w:val="1"/>
              </w:numPr>
              <w:spacing w:before="0" w:after="0"/>
              <w:rPr>
                <w:rFonts w:ascii="Arial" w:hAnsi="Arial"/>
                <w:color w:val="auto"/>
                <w:sz w:val="24"/>
                <w:szCs w:val="24"/>
              </w:rPr>
            </w:pPr>
            <w:r>
              <w:rPr>
                <w:rFonts w:ascii="Arial" w:hAnsi="Arial"/>
                <w:color w:val="auto"/>
                <w:sz w:val="24"/>
                <w:szCs w:val="24"/>
              </w:rPr>
              <w:t>358 343,35 zł umorzenie pozostałych środków trwałych</w:t>
            </w:r>
          </w:p>
          <w:p>
            <w:pPr>
              <w:pStyle w:val="Standard"/>
              <w:numPr>
                <w:ilvl w:val="0"/>
                <w:numId w:val="1"/>
              </w:numPr>
              <w:spacing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2 611,26 zł  umorzenie zbiorów bibliotecznych</w:t>
            </w:r>
            <w:bookmarkStart w:id="0" w:name="_GoBack"/>
            <w:bookmarkEnd w:id="0"/>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cs="Calibri" w:ascii="Arial" w:hAnsi="Arial"/>
                <w:color w:val="auto"/>
                <w:sz w:val="24"/>
                <w:szCs w:val="24"/>
              </w:rPr>
              <w:t>2.</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2.1.</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2.2.</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20" w:hanging="0"/>
              <w:rPr>
                <w:rFonts w:ascii="Arial" w:hAnsi="Arial"/>
                <w:color w:val="auto"/>
                <w:sz w:val="24"/>
                <w:szCs w:val="24"/>
              </w:rPr>
            </w:pPr>
            <w:r>
              <w:rPr>
                <w:rFonts w:ascii="Arial" w:hAnsi="Arial"/>
                <w:color w:val="auto"/>
                <w:sz w:val="24"/>
                <w:szCs w:val="24"/>
              </w:rPr>
              <w:t>2.3.</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wystąpiły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20" w:hanging="0"/>
              <w:rPr>
                <w:rFonts w:ascii="Arial" w:hAnsi="Arial"/>
                <w:color w:val="auto"/>
                <w:sz w:val="24"/>
                <w:szCs w:val="24"/>
              </w:rPr>
            </w:pPr>
            <w:r>
              <w:rPr>
                <w:rFonts w:ascii="Arial" w:hAnsi="Arial"/>
                <w:color w:val="auto"/>
                <w:sz w:val="24"/>
                <w:szCs w:val="24"/>
              </w:rPr>
              <w:t>2.4.</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20" w:hanging="0"/>
              <w:rPr>
                <w:rFonts w:ascii="Arial" w:hAnsi="Arial"/>
                <w:color w:val="auto"/>
                <w:sz w:val="24"/>
                <w:szCs w:val="24"/>
              </w:rPr>
            </w:pPr>
            <w:r>
              <w:rPr>
                <w:rFonts w:ascii="Arial" w:hAnsi="Arial"/>
                <w:color w:val="auto"/>
                <w:sz w:val="24"/>
                <w:szCs w:val="24"/>
              </w:rPr>
              <w:t>2.5.</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20" w:hanging="0"/>
              <w:rPr>
                <w:rFonts w:ascii="Arial" w:hAnsi="Arial"/>
                <w:color w:val="auto"/>
                <w:sz w:val="24"/>
                <w:szCs w:val="24"/>
              </w:rPr>
            </w:pPr>
            <w:r>
              <w:rPr>
                <w:rFonts w:ascii="Arial" w:hAnsi="Arial"/>
                <w:color w:val="auto"/>
                <w:sz w:val="24"/>
                <w:szCs w:val="24"/>
              </w:rPr>
              <w:t>inne informacje</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20" w:hanging="0"/>
              <w:rPr>
                <w:rFonts w:ascii="Arial" w:hAnsi="Arial"/>
                <w:color w:val="auto"/>
                <w:sz w:val="24"/>
                <w:szCs w:val="24"/>
              </w:rPr>
            </w:pPr>
            <w:r>
              <w:rPr>
                <w:rFonts w:ascii="Arial" w:hAnsi="Arial"/>
                <w:color w:val="auto"/>
                <w:sz w:val="24"/>
                <w:szCs w:val="24"/>
              </w:rPr>
              <w:t>3.</w:t>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pacing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528"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cs="Calibri"/>
                <w:color w:val="auto"/>
                <w:sz w:val="24"/>
                <w:szCs w:val="24"/>
              </w:rPr>
            </w:pPr>
            <w:r>
              <w:rPr>
                <w:rFonts w:cs="Calibri" w:ascii="Arial" w:hAnsi="Arial"/>
                <w:color w:val="auto"/>
                <w:sz w:val="24"/>
                <w:szCs w:val="24"/>
              </w:rPr>
            </w:r>
          </w:p>
        </w:tc>
        <w:tc>
          <w:tcPr>
            <w:tcW w:w="150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spacing w:before="0" w:after="0"/>
              <w:rPr>
                <w:rFonts w:ascii="Arial" w:hAnsi="Arial"/>
                <w:b/>
                <w:b/>
                <w:color w:val="auto"/>
                <w:sz w:val="24"/>
                <w:szCs w:val="24"/>
              </w:rPr>
            </w:pPr>
            <w:r>
              <w:rPr>
                <w:rFonts w:ascii="Arial" w:hAnsi="Arial"/>
                <w:b/>
                <w:color w:val="auto"/>
                <w:sz w:val="24"/>
                <w:szCs w:val="24"/>
              </w:rPr>
            </w:r>
          </w:p>
        </w:tc>
      </w:tr>
    </w:tbl>
    <w:p>
      <w:pPr>
        <w:pStyle w:val="Standard"/>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1"/>
        <w:gridCol w:w="3890"/>
        <w:gridCol w:w="2868"/>
      </w:tblGrid>
      <w:tr>
        <w:trPr>
          <w:trHeight w:val="280" w:hRule="exact"/>
        </w:trPr>
        <w:tc>
          <w:tcPr>
            <w:tcW w:w="2991" w:type="dxa"/>
            <w:tcBorders/>
            <w:shd w:color="auto" w:fill="auto" w:val="clear"/>
          </w:tcPr>
          <w:p>
            <w:pPr>
              <w:pStyle w:val="Standard"/>
              <w:widowControl w:val="false"/>
              <w:spacing w:lineRule="exact" w:line="203" w:before="76" w:after="160"/>
              <w:ind w:left="40" w:right="-20" w:hanging="0"/>
              <w:rPr>
                <w:rFonts w:ascii="Arial" w:hAnsi="Arial"/>
                <w:color w:val="auto"/>
                <w:sz w:val="24"/>
                <w:szCs w:val="24"/>
              </w:rPr>
            </w:pPr>
            <w:r>
              <w:rPr>
                <w:rFonts w:ascii="Arial" w:hAnsi="Arial"/>
                <w:color w:val="auto"/>
                <w:position w:val="-12"/>
                <w:sz w:val="24"/>
                <w:szCs w:val="24"/>
              </w:rPr>
              <w:t>..................................................................................</w:t>
            </w:r>
          </w:p>
        </w:tc>
        <w:tc>
          <w:tcPr>
            <w:tcW w:w="3890" w:type="dxa"/>
            <w:tcBorders/>
            <w:shd w:color="auto" w:fill="auto" w:val="clear"/>
          </w:tcPr>
          <w:p>
            <w:pPr>
              <w:pStyle w:val="Standard"/>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p>
            <w:pPr>
              <w:pStyle w:val="Standard"/>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p>
            <w:pPr>
              <w:pStyle w:val="Standard"/>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p>
            <w:pPr>
              <w:pStyle w:val="Standard"/>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c>
          <w:tcPr>
            <w:tcW w:w="2868" w:type="dxa"/>
            <w:tcBorders/>
            <w:shd w:color="auto" w:fill="auto" w:val="clear"/>
          </w:tcPr>
          <w:p>
            <w:pPr>
              <w:pStyle w:val="Standard"/>
              <w:widowControl w:val="false"/>
              <w:spacing w:lineRule="exact" w:line="203" w:before="76" w:after="160"/>
              <w:ind w:right="-20" w:hanging="0"/>
              <w:rPr>
                <w:rFonts w:ascii="Arial" w:hAnsi="Arial"/>
                <w:color w:val="auto"/>
                <w:sz w:val="24"/>
                <w:szCs w:val="24"/>
              </w:rPr>
            </w:pPr>
            <w:r>
              <w:rPr>
                <w:rFonts w:ascii="Arial" w:hAnsi="Arial"/>
                <w:color w:val="auto"/>
                <w:position w:val="-12"/>
                <w:sz w:val="24"/>
                <w:szCs w:val="24"/>
              </w:rPr>
              <w:t>..........................................</w:t>
            </w:r>
          </w:p>
        </w:tc>
      </w:tr>
      <w:tr>
        <w:trPr>
          <w:trHeight w:val="280" w:hRule="exact"/>
        </w:trPr>
        <w:tc>
          <w:tcPr>
            <w:tcW w:w="2991" w:type="dxa"/>
            <w:tcBorders/>
            <w:shd w:color="auto" w:fill="auto" w:val="clear"/>
          </w:tcPr>
          <w:p>
            <w:pPr>
              <w:pStyle w:val="Normal"/>
              <w:spacing w:lineRule="exact" w:line="203" w:before="76" w:after="160"/>
              <w:ind w:left="40" w:right="-20" w:hanging="0"/>
              <w:rPr>
                <w:rFonts w:ascii="Arial" w:hAnsi="Arial"/>
                <w:color w:val="auto"/>
                <w:sz w:val="24"/>
                <w:szCs w:val="24"/>
              </w:rPr>
            </w:pPr>
            <w:r>
              <w:rPr>
                <w:rFonts w:ascii="Arial" w:hAnsi="Arial"/>
                <w:color w:val="auto"/>
                <w:position w:val="0"/>
                <w:sz w:val="24"/>
                <w:szCs w:val="24"/>
              </w:rPr>
              <w:t>..........................................</w:t>
            </w:r>
          </w:p>
        </w:tc>
        <w:tc>
          <w:tcPr>
            <w:tcW w:w="3890" w:type="dxa"/>
            <w:tcBorders/>
            <w:shd w:color="auto" w:fill="auto" w:val="clear"/>
          </w:tcPr>
          <w:p>
            <w:pPr>
              <w:pStyle w:val="Normal"/>
              <w:spacing w:lineRule="exact" w:line="203" w:before="76" w:after="160"/>
              <w:ind w:right="-20" w:hanging="0"/>
              <w:rPr>
                <w:rFonts w:ascii="Arial" w:hAnsi="Arial"/>
                <w:color w:val="auto"/>
                <w:sz w:val="24"/>
                <w:szCs w:val="24"/>
              </w:rPr>
            </w:pPr>
            <w:r>
              <w:rPr>
                <w:rFonts w:ascii="Arial" w:hAnsi="Arial"/>
                <w:color w:val="auto"/>
                <w:position w:val="0"/>
                <w:sz w:val="24"/>
                <w:szCs w:val="24"/>
              </w:rPr>
              <w:t>..........................................</w:t>
            </w:r>
          </w:p>
        </w:tc>
        <w:tc>
          <w:tcPr>
            <w:tcW w:w="2868" w:type="dxa"/>
            <w:tcBorders/>
            <w:shd w:color="auto" w:fill="auto" w:val="clear"/>
          </w:tcPr>
          <w:p>
            <w:pPr>
              <w:pStyle w:val="Normal"/>
              <w:spacing w:lineRule="exact" w:line="203" w:before="76" w:after="160"/>
              <w:ind w:right="-20" w:hanging="0"/>
              <w:rPr>
                <w:rFonts w:ascii="Arial" w:hAnsi="Arial"/>
                <w:color w:val="auto"/>
                <w:sz w:val="24"/>
                <w:szCs w:val="24"/>
              </w:rPr>
            </w:pPr>
            <w:r>
              <w:rPr>
                <w:rFonts w:ascii="Arial" w:hAnsi="Arial"/>
                <w:color w:val="auto"/>
                <w:position w:val="0"/>
                <w:sz w:val="24"/>
                <w:szCs w:val="24"/>
              </w:rPr>
              <w:t>..........................................</w:t>
            </w:r>
          </w:p>
        </w:tc>
      </w:tr>
      <w:tr>
        <w:trPr>
          <w:trHeight w:val="280" w:hRule="exact"/>
        </w:trPr>
        <w:tc>
          <w:tcPr>
            <w:tcW w:w="2991" w:type="dxa"/>
            <w:tcBorders/>
            <w:shd w:color="auto" w:fill="auto" w:val="clear"/>
          </w:tcPr>
          <w:p>
            <w:pPr>
              <w:pStyle w:val="Normal"/>
              <w:spacing w:lineRule="exact" w:line="184" w:before="0" w:after="160"/>
              <w:ind w:left="288" w:right="-20" w:hanging="0"/>
              <w:rPr>
                <w:rFonts w:ascii="Arial" w:hAnsi="Arial"/>
                <w:color w:val="auto"/>
                <w:sz w:val="24"/>
                <w:szCs w:val="24"/>
              </w:rPr>
            </w:pPr>
            <w:r>
              <w:rPr>
                <w:rFonts w:ascii="Arial" w:hAnsi="Arial"/>
                <w:color w:val="auto"/>
                <w:sz w:val="24"/>
                <w:szCs w:val="24"/>
              </w:rPr>
              <w:t>(główny księgowy)</w:t>
            </w:r>
          </w:p>
        </w:tc>
        <w:tc>
          <w:tcPr>
            <w:tcW w:w="3890" w:type="dxa"/>
            <w:tcBorders/>
            <w:shd w:color="auto" w:fill="auto" w:val="clear"/>
          </w:tcPr>
          <w:p>
            <w:pPr>
              <w:pStyle w:val="Normal"/>
              <w:spacing w:lineRule="exact" w:line="184" w:before="0" w:after="160"/>
              <w:ind w:right="-20" w:hanging="0"/>
              <w:rPr>
                <w:rFonts w:ascii="Arial" w:hAnsi="Arial"/>
                <w:color w:val="auto"/>
                <w:sz w:val="24"/>
                <w:szCs w:val="24"/>
              </w:rPr>
            </w:pPr>
            <w:r>
              <w:rPr>
                <w:rFonts w:ascii="Arial" w:hAnsi="Arial"/>
                <w:color w:val="auto"/>
                <w:sz w:val="24"/>
                <w:szCs w:val="24"/>
              </w:rPr>
              <w:t>(rok, miesiąc, dzień)</w:t>
            </w:r>
          </w:p>
        </w:tc>
        <w:tc>
          <w:tcPr>
            <w:tcW w:w="2868" w:type="dxa"/>
            <w:tcBorders/>
            <w:shd w:color="auto" w:fill="auto" w:val="clear"/>
          </w:tcPr>
          <w:p>
            <w:pPr>
              <w:pStyle w:val="Normal"/>
              <w:spacing w:lineRule="exact" w:line="184" w:before="0" w:after="160"/>
              <w:ind w:right="-20" w:hanging="0"/>
              <w:rPr>
                <w:rFonts w:ascii="Arial" w:hAnsi="Arial"/>
                <w:color w:val="auto"/>
                <w:sz w:val="24"/>
                <w:szCs w:val="24"/>
              </w:rPr>
            </w:pPr>
            <w:r>
              <w:rPr>
                <w:rFonts w:ascii="Arial" w:hAnsi="Arial"/>
                <w:color w:val="auto"/>
                <w:sz w:val="24"/>
                <w:szCs w:val="24"/>
              </w:rPr>
              <w:t>(kierownik jednostki)</w:t>
            </w:r>
          </w:p>
        </w:tc>
      </w:tr>
    </w:tbl>
    <w:p>
      <w:pPr>
        <w:pStyle w:val="Standard"/>
        <w:rPr>
          <w:rFonts w:ascii="Arial" w:hAnsi="Arial"/>
          <w:color w:val="auto"/>
          <w:sz w:val="24"/>
          <w:szCs w:val="24"/>
        </w:rPr>
      </w:pPr>
      <w:r>
        <w:rPr>
          <w:rFonts w:ascii="Arial" w:hAnsi="Arial"/>
          <w:color w:val="auto"/>
          <w:sz w:val="24"/>
          <w:szCs w:val="24"/>
        </w:rPr>
      </w:r>
    </w:p>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567" w:right="567" w:header="0" w:top="851" w:footer="0" w:bottom="85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Symbol">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rFonts w:cs="OpenSymbol"/>
      </w:rPr>
    </w:lvl>
    <w:lvl w:ilvl="1">
      <w:start w:val="1"/>
      <w:numFmt w:val="bullet"/>
      <w:lvlText w:val=""/>
      <w:lvlJc w:val="left"/>
      <w:pPr>
        <w:ind w:left="1080" w:hanging="360"/>
      </w:pPr>
      <w:rPr>
        <w:rFonts w:ascii="Symbol" w:hAnsi="Symbol" w:cs="Symbol" w:hint="default"/>
        <w:rFonts w:cs="OpenSymbol"/>
      </w:rPr>
    </w:lvl>
    <w:lvl w:ilvl="2">
      <w:start w:val="1"/>
      <w:numFmt w:val="bullet"/>
      <w:lvlText w:val=""/>
      <w:lvlJc w:val="left"/>
      <w:pPr>
        <w:ind w:left="1440" w:hanging="360"/>
      </w:pPr>
      <w:rPr>
        <w:rFonts w:ascii="Symbol" w:hAnsi="Symbol" w:cs="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Symbol" w:hAnsi="Symbol" w:cs="Symbol" w:hint="default"/>
        <w:rFonts w:cs="OpenSymbol"/>
      </w:rPr>
    </w:lvl>
    <w:lvl w:ilvl="5">
      <w:start w:val="1"/>
      <w:numFmt w:val="bullet"/>
      <w:lvlText w:val=""/>
      <w:lvlJc w:val="left"/>
      <w:pPr>
        <w:ind w:left="2520" w:hanging="360"/>
      </w:pPr>
      <w:rPr>
        <w:rFonts w:ascii="Symbol" w:hAnsi="Symbol" w:cs="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Symbol" w:hAnsi="Symbol" w:cs="Symbol" w:hint="default"/>
        <w:rFonts w:cs="OpenSymbol"/>
      </w:rPr>
    </w:lvl>
    <w:lvl w:ilvl="8">
      <w:start w:val="1"/>
      <w:numFmt w:val="bullet"/>
      <w:lvlText w:val=""/>
      <w:lvlJc w:val="left"/>
      <w:pPr>
        <w:ind w:left="3600" w:hanging="360"/>
      </w:pPr>
      <w:rPr>
        <w:rFonts w:ascii="Symbol" w:hAnsi="Symbol" w:cs="Symbol" w:hint="default"/>
        <w:rFonts w:cs="OpenSymbol"/>
      </w:rPr>
    </w:lvl>
  </w:abstractNum>
  <w:abstractNum w:abstractNumId="2">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0"/>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1140"/>
        </w:tabs>
        <w:ind w:left="1140" w:hanging="360"/>
      </w:pPr>
      <w:rPr>
        <w:rFonts w:ascii="Symbol" w:hAnsi="Symbol" w:cs="Symbol" w:hint="default"/>
        <w:rFonts w:cs="OpenSymbol"/>
      </w:rPr>
    </w:lvl>
    <w:lvl w:ilvl="1">
      <w:start w:val="1"/>
      <w:numFmt w:val="bullet"/>
      <w:lvlText w:val="◦"/>
      <w:lvlJc w:val="left"/>
      <w:pPr>
        <w:tabs>
          <w:tab w:val="num" w:pos="1500"/>
        </w:tabs>
        <w:ind w:left="1500" w:hanging="360"/>
      </w:pPr>
      <w:rPr>
        <w:rFonts w:ascii="OpenSymbol" w:hAnsi="OpenSymbol" w:cs="OpenSymbol" w:hint="default"/>
        <w:rFonts w:cs="OpenSymbol"/>
      </w:rPr>
    </w:lvl>
    <w:lvl w:ilvl="2">
      <w:start w:val="1"/>
      <w:numFmt w:val="bullet"/>
      <w:lvlText w:val="▪"/>
      <w:lvlJc w:val="left"/>
      <w:pPr>
        <w:tabs>
          <w:tab w:val="num" w:pos="1860"/>
        </w:tabs>
        <w:ind w:left="1860" w:hanging="360"/>
      </w:pPr>
      <w:rPr>
        <w:rFonts w:ascii="OpenSymbol" w:hAnsi="OpenSymbol" w:cs="OpenSymbol" w:hint="default"/>
        <w:rFonts w:cs="OpenSymbol"/>
      </w:rPr>
    </w:lvl>
    <w:lvl w:ilvl="3">
      <w:start w:val="1"/>
      <w:numFmt w:val="bullet"/>
      <w:lvlText w:val=""/>
      <w:lvlJc w:val="left"/>
      <w:pPr>
        <w:tabs>
          <w:tab w:val="num" w:pos="2220"/>
        </w:tabs>
        <w:ind w:left="2220" w:hanging="360"/>
      </w:pPr>
      <w:rPr>
        <w:rFonts w:ascii="Symbol" w:hAnsi="Symbol" w:cs="Symbol" w:hint="default"/>
        <w:rFonts w:cs="OpenSymbol"/>
      </w:rPr>
    </w:lvl>
    <w:lvl w:ilvl="4">
      <w:start w:val="1"/>
      <w:numFmt w:val="bullet"/>
      <w:lvlText w:val="◦"/>
      <w:lvlJc w:val="left"/>
      <w:pPr>
        <w:tabs>
          <w:tab w:val="num" w:pos="2580"/>
        </w:tabs>
        <w:ind w:left="2580" w:hanging="360"/>
      </w:pPr>
      <w:rPr>
        <w:rFonts w:ascii="OpenSymbol" w:hAnsi="OpenSymbol" w:cs="OpenSymbol" w:hint="default"/>
        <w:rFonts w:cs="OpenSymbol"/>
      </w:rPr>
    </w:lvl>
    <w:lvl w:ilvl="5">
      <w:start w:val="1"/>
      <w:numFmt w:val="bullet"/>
      <w:lvlText w:val="▪"/>
      <w:lvlJc w:val="left"/>
      <w:pPr>
        <w:tabs>
          <w:tab w:val="num" w:pos="2940"/>
        </w:tabs>
        <w:ind w:left="2940" w:hanging="360"/>
      </w:pPr>
      <w:rPr>
        <w:rFonts w:ascii="OpenSymbol" w:hAnsi="OpenSymbol" w:cs="OpenSymbol" w:hint="default"/>
        <w:rFonts w:cs="OpenSymbol"/>
      </w:rPr>
    </w:lvl>
    <w:lvl w:ilvl="6">
      <w:start w:val="1"/>
      <w:numFmt w:val="bullet"/>
      <w:lvlText w:val=""/>
      <w:lvlJc w:val="left"/>
      <w:pPr>
        <w:tabs>
          <w:tab w:val="num" w:pos="3300"/>
        </w:tabs>
        <w:ind w:left="3300" w:hanging="360"/>
      </w:pPr>
      <w:rPr>
        <w:rFonts w:ascii="Symbol" w:hAnsi="Symbol" w:cs="Symbol" w:hint="default"/>
        <w:rFonts w:cs="OpenSymbol"/>
      </w:rPr>
    </w:lvl>
    <w:lvl w:ilvl="7">
      <w:start w:val="1"/>
      <w:numFmt w:val="bullet"/>
      <w:lvlText w:val="◦"/>
      <w:lvlJc w:val="left"/>
      <w:pPr>
        <w:tabs>
          <w:tab w:val="num" w:pos="3660"/>
        </w:tabs>
        <w:ind w:left="3660" w:hanging="360"/>
      </w:pPr>
      <w:rPr>
        <w:rFonts w:ascii="OpenSymbol" w:hAnsi="OpenSymbol" w:cs="OpenSymbol" w:hint="default"/>
        <w:rFonts w:cs="OpenSymbol"/>
      </w:rPr>
    </w:lvl>
    <w:lvl w:ilvl="8">
      <w:start w:val="1"/>
      <w:numFmt w:val="bullet"/>
      <w:lvlText w:val="▪"/>
      <w:lvlJc w:val="left"/>
      <w:pPr>
        <w:tabs>
          <w:tab w:val="num" w:pos="4020"/>
        </w:tabs>
        <w:ind w:left="402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2a7f"/>
    <w:pPr>
      <w:widowControl w:val="false"/>
      <w:suppressAutoHyphens w:val="true"/>
      <w:bidi w:val="0"/>
      <w:spacing w:lineRule="auto" w:line="240" w:before="0" w:after="160"/>
      <w:jc w:val="left"/>
      <w:textAlignment w:val="baseline"/>
    </w:pPr>
    <w:rPr>
      <w:rFonts w:ascii="Calibri" w:hAnsi="Calibri" w:eastAsia="SimSun" w:cs="Tahoma" w:asciiTheme="minorHAnsi" w:hAnsiTheme="minorHAnsi"/>
      <w:color w:val="auto"/>
      <w:kern w:val="2"/>
      <w:sz w:val="22"/>
      <w:szCs w:val="22"/>
      <w:lang w:val="pl-P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ListLabel3">
    <w:name w:val="ListLabel 3"/>
    <w:qFormat/>
    <w:rPr>
      <w:rFonts w:eastAsia="OpenSymbol" w:cs="OpenSymbol"/>
      <w:sz w:val="20"/>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customStyle="1">
    <w:name w:val="Standard"/>
    <w:qFormat/>
    <w:rsid w:val="00bb2a7f"/>
    <w:pPr>
      <w:widowControl/>
      <w:suppressAutoHyphens w:val="true"/>
      <w:bidi w:val="0"/>
      <w:spacing w:lineRule="auto" w:line="240" w:before="0" w:after="160"/>
      <w:jc w:val="left"/>
      <w:textAlignment w:val="baseline"/>
    </w:pPr>
    <w:rPr>
      <w:rFonts w:ascii="Calibri" w:hAnsi="Calibri" w:eastAsia="SimSun" w:cs="Tahoma" w:asciiTheme="minorHAnsi" w:hAnsiTheme="minorHAnsi"/>
      <w:color w:val="auto"/>
      <w:kern w:val="2"/>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LibreOffice/6.2.3.2$Windows_x86 LibreOffice_project/aecc05fe267cc68dde00352a451aa867b3b546ac</Application>
  <Pages>12</Pages>
  <Words>3361</Words>
  <Characters>21808</Characters>
  <CharactersWithSpaces>25586</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2024-03-18T12:15:00Z</dcterms:created>
  <dc:creator>Aneta Błachnio</dc:creator>
  <dc:description/>
  <cp:keywords>Informacja dodatkowa</cp:keywords>
  <dc:language>pl-PL</dc:language>
  <cp:lastModifiedBy/>
  <dcterms:modified xsi:type="dcterms:W3CDTF">2025-05-05T12:53:14Z</dcterms:modified>
  <cp:revision>16</cp:revision>
  <dc:subject/>
  <dc:title>PPP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