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color w:val="auto"/>
          <w:sz w:val="24"/>
          <w:szCs w:val="24"/>
        </w:rPr>
      </w:pPr>
      <w:r>
        <w:rPr>
          <w:rFonts w:ascii="Arial" w:hAnsi="Arial"/>
          <w:b/>
          <w:color w:val="auto"/>
          <w:sz w:val="24"/>
          <w:szCs w:val="24"/>
        </w:rPr>
        <w:t xml:space="preserve"> </w:t>
      </w:r>
      <w:r>
        <w:rPr>
          <w:rFonts w:ascii="Arial" w:hAnsi="Arial"/>
          <w:b/>
          <w:color w:val="auto"/>
          <w:sz w:val="24"/>
          <w:szCs w:val="24"/>
        </w:rPr>
        <w:t>INFORMACJA DODATKOWA</w:t>
      </w:r>
    </w:p>
    <w:p>
      <w:pPr>
        <w:pStyle w:val="Normal"/>
        <w:rPr>
          <w:rFonts w:ascii="Arial" w:hAnsi="Arial"/>
          <w:b/>
          <w:b/>
          <w:color w:val="auto"/>
          <w:sz w:val="24"/>
          <w:szCs w:val="24"/>
        </w:rPr>
      </w:pPr>
      <w:r>
        <w:rPr>
          <w:rFonts w:ascii="Arial" w:hAnsi="Arial"/>
          <w:b/>
          <w:color w:val="auto"/>
          <w:sz w:val="24"/>
          <w:szCs w:val="24"/>
        </w:rPr>
      </w:r>
    </w:p>
    <w:tbl>
      <w:tblPr>
        <w:tblW w:w="15126" w:type="dxa"/>
        <w:jc w:val="left"/>
        <w:tblInd w:w="0" w:type="dxa"/>
        <w:tblCellMar>
          <w:top w:w="0" w:type="dxa"/>
          <w:left w:w="108" w:type="dxa"/>
          <w:bottom w:w="0" w:type="dxa"/>
          <w:right w:w="108" w:type="dxa"/>
        </w:tblCellMar>
        <w:tblLook w:firstRow="1" w:noVBand="0" w:lastRow="0" w:firstColumn="1" w:lastColumn="0" w:noHBand="0" w:val="00a0"/>
      </w:tblPr>
      <w:tblGrid>
        <w:gridCol w:w="621"/>
        <w:gridCol w:w="14504"/>
      </w:tblGrid>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0"/>
                <w:szCs w:val="20"/>
              </w:rPr>
            </w:pPr>
            <w:r>
              <w:rPr>
                <w:rFonts w:ascii="Arial" w:hAnsi="Arial"/>
                <w:b/>
                <w:color w:val="auto"/>
                <w:sz w:val="24"/>
                <w:szCs w:val="24"/>
              </w:rPr>
              <w:t>I.</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bCs/>
                <w:color w:val="auto"/>
                <w:sz w:val="24"/>
                <w:szCs w:val="24"/>
              </w:rPr>
              <w:t>Wprowadzenie do sprawozdania finansowego, obejmuje w szczególności:</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1.1</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nazwę jednostki</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b/>
                <w:b/>
              </w:rPr>
            </w:pPr>
            <w:r>
              <w:rPr>
                <w:rFonts w:ascii="Arial" w:hAnsi="Arial"/>
                <w:b/>
                <w:color w:val="auto"/>
                <w:sz w:val="24"/>
                <w:szCs w:val="24"/>
              </w:rPr>
              <w:t>Centrum Kształcenia Zawodowego i Ustawicznego</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1.2</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siedzibę jednostki</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b/>
                <w:b/>
                <w:sz w:val="24"/>
                <w:szCs w:val="24"/>
              </w:rPr>
            </w:pPr>
            <w:r>
              <w:rPr>
                <w:rFonts w:ascii="Arial" w:hAnsi="Arial"/>
                <w:b/>
                <w:color w:val="auto"/>
                <w:sz w:val="24"/>
                <w:szCs w:val="24"/>
              </w:rPr>
              <w:t>Włocławek, ul. Nowomiejska 25</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1.3</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adres jednostki</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b/>
                <w:b/>
                <w:sz w:val="24"/>
                <w:szCs w:val="24"/>
              </w:rPr>
            </w:pPr>
            <w:r>
              <w:rPr>
                <w:rFonts w:ascii="Arial" w:hAnsi="Arial"/>
                <w:b/>
                <w:color w:val="auto"/>
                <w:sz w:val="24"/>
                <w:szCs w:val="24"/>
              </w:rPr>
              <w:t>Włocławek, ul. Nowomiejska 25</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1.4</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podstawowy przedmiot działalności jednostki</w:t>
            </w:r>
          </w:p>
        </w:tc>
      </w:tr>
      <w:tr>
        <w:trPr>
          <w:trHeight w:val="716" w:hRule="atLeast"/>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Narrow" w:hAnsi="Arial Narrow"/>
                <w:b/>
                <w:b/>
                <w:sz w:val="24"/>
                <w:szCs w:val="24"/>
              </w:rPr>
            </w:pPr>
            <w:r>
              <w:rPr>
                <w:rFonts w:cs="TimesNewRomanPSMT" w:ascii="Arial" w:hAnsi="Arial"/>
                <w:b/>
                <w:color w:val="auto"/>
                <w:sz w:val="24"/>
                <w:szCs w:val="24"/>
              </w:rPr>
              <w:t xml:space="preserve">Podstawę prawną działalności </w:t>
            </w:r>
            <w:r>
              <w:rPr>
                <w:rFonts w:ascii="Arial" w:hAnsi="Arial"/>
                <w:b/>
                <w:color w:val="auto"/>
                <w:sz w:val="24"/>
                <w:szCs w:val="24"/>
              </w:rPr>
              <w:t>Centrum Kształcenia Zawodowego i Ustawicznego</w:t>
            </w:r>
            <w:r>
              <w:rPr>
                <w:rFonts w:cs="TimesNewRomanPSMT" w:ascii="Arial" w:hAnsi="Arial"/>
                <w:b/>
                <w:color w:val="auto"/>
                <w:sz w:val="24"/>
                <w:szCs w:val="24"/>
              </w:rPr>
              <w:t xml:space="preserve"> stanowi ustawa z dnia 14 grudnia 2016 r. Prawo Oświatowe ( tekst jednolity Dz.U. z 2017 r. poz. 59) oraz wydane do niej przepisy wykonawcze oraz Statut </w:t>
            </w:r>
            <w:r>
              <w:rPr>
                <w:rFonts w:ascii="Arial" w:hAnsi="Arial"/>
                <w:b/>
                <w:color w:val="auto"/>
                <w:sz w:val="24"/>
                <w:szCs w:val="24"/>
              </w:rPr>
              <w:t>Centrum Kształcenia Zawodowego i Ustawicznego</w:t>
            </w:r>
            <w:r>
              <w:rPr>
                <w:rFonts w:cs="TimesNewRomanPSMT" w:ascii="Arial" w:hAnsi="Arial"/>
                <w:b/>
                <w:color w:val="auto"/>
                <w:sz w:val="24"/>
                <w:szCs w:val="24"/>
              </w:rPr>
              <w:t>.</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2.</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wskazanie okresu objętego sprawozdaniem</w:t>
            </w:r>
          </w:p>
        </w:tc>
      </w:tr>
      <w:tr>
        <w:trPr>
          <w:trHeight w:val="396" w:hRule="atLeast"/>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Narrow" w:hAnsi="Arial Narrow"/>
                <w:b/>
                <w:b/>
              </w:rPr>
            </w:pPr>
            <w:r>
              <w:rPr>
                <w:rFonts w:ascii="Arial" w:hAnsi="Arial"/>
                <w:b/>
                <w:color w:val="auto"/>
                <w:sz w:val="24"/>
                <w:szCs w:val="24"/>
              </w:rPr>
              <w:t>01 stycznia 2024 - 31 grudnia 2024</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3.</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4.</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1"/>
              </w:numPr>
              <w:spacing w:lineRule="auto" w:line="240" w:before="0" w:after="0"/>
              <w:ind w:left="196" w:hanging="196"/>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2"/>
              </w:numPr>
              <w:spacing w:lineRule="auto" w:line="240" w:before="0" w:after="0"/>
              <w:jc w:val="both"/>
              <w:rPr>
                <w:rFonts w:ascii="Arial" w:hAnsi="Arial"/>
                <w:color w:val="auto"/>
                <w:sz w:val="24"/>
                <w:szCs w:val="24"/>
              </w:rPr>
            </w:pPr>
            <w:r>
              <w:rPr>
                <w:rFonts w:cs="Calibri" w:ascii="Arial" w:hAnsi="Arial"/>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2"/>
              </w:numPr>
              <w:spacing w:lineRule="auto" w:line="240" w:before="0" w:after="0"/>
              <w:jc w:val="both"/>
              <w:rPr>
                <w:rFonts w:ascii="Arial" w:hAnsi="Arial"/>
                <w:color w:val="auto"/>
                <w:sz w:val="24"/>
                <w:szCs w:val="24"/>
              </w:rPr>
            </w:pPr>
            <w:r>
              <w:rPr>
                <w:rFonts w:cs="Calibri" w:ascii="Arial" w:hAnsi="Arial"/>
                <w:color w:val="auto"/>
                <w:sz w:val="24"/>
                <w:szCs w:val="24"/>
              </w:rPr>
              <w:t>Środki trwałe w budowie wycenia się w wysokości ogółu kosztów pozostających w bezpośrednim związku z ich wytworzeniem.</w:t>
            </w:r>
          </w:p>
          <w:p>
            <w:pPr>
              <w:pStyle w:val="Normal"/>
              <w:numPr>
                <w:ilvl w:val="0"/>
                <w:numId w:val="2"/>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określonej godziwej wartości.</w:t>
            </w:r>
          </w:p>
          <w:p>
            <w:pPr>
              <w:pStyle w:val="Normal"/>
              <w:numPr>
                <w:ilvl w:val="0"/>
                <w:numId w:val="2"/>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Rzeczowe składniki aktywów obrotowych wycenia się według cen nabycia lub kosztów wytworzenia nie wyższych od cen sprzedaży netto na dzień bilansowy.</w:t>
            </w:r>
          </w:p>
          <w:p>
            <w:pPr>
              <w:pStyle w:val="Normal"/>
              <w:numPr>
                <w:ilvl w:val="0"/>
                <w:numId w:val="2"/>
              </w:numPr>
              <w:spacing w:lineRule="auto" w:line="240" w:before="0" w:after="0"/>
              <w:jc w:val="both"/>
              <w:rPr>
                <w:rFonts w:ascii="Arial" w:hAnsi="Arial"/>
                <w:color w:val="auto"/>
                <w:sz w:val="24"/>
                <w:szCs w:val="24"/>
              </w:rPr>
            </w:pPr>
            <w:r>
              <w:rPr>
                <w:rFonts w:cs="Calibri" w:ascii="Arial" w:hAnsi="Arial"/>
                <w:color w:val="auto"/>
                <w:sz w:val="24"/>
                <w:szCs w:val="24"/>
              </w:rPr>
              <w:t>Należności wycenia się w kwocie wymagalnej zapłaty z zachowaniem zasady ostrożności.</w:t>
            </w:r>
          </w:p>
          <w:p>
            <w:pPr>
              <w:pStyle w:val="Normal"/>
              <w:numPr>
                <w:ilvl w:val="0"/>
                <w:numId w:val="2"/>
              </w:numPr>
              <w:spacing w:lineRule="auto" w:line="240" w:before="0" w:after="0"/>
              <w:jc w:val="both"/>
              <w:rPr>
                <w:rFonts w:ascii="Arial" w:hAnsi="Arial"/>
                <w:color w:val="auto"/>
                <w:sz w:val="24"/>
                <w:szCs w:val="24"/>
              </w:rPr>
            </w:pPr>
            <w:r>
              <w:rPr>
                <w:rFonts w:cs="Calibri" w:ascii="Arial" w:hAnsi="Arial"/>
                <w:color w:val="auto"/>
                <w:sz w:val="24"/>
                <w:szCs w:val="24"/>
              </w:rPr>
              <w:t>Zobowiązania wycenia się w kwocie wymagającej zapłaty.</w:t>
            </w:r>
          </w:p>
          <w:p>
            <w:pPr>
              <w:pStyle w:val="Normal"/>
              <w:numPr>
                <w:ilvl w:val="0"/>
                <w:numId w:val="2"/>
              </w:numPr>
              <w:spacing w:lineRule="auto" w:line="240" w:before="0" w:after="0"/>
              <w:jc w:val="both"/>
              <w:rPr>
                <w:rFonts w:ascii="Arial" w:hAnsi="Arial"/>
                <w:color w:val="auto"/>
                <w:sz w:val="24"/>
                <w:szCs w:val="24"/>
              </w:rPr>
            </w:pPr>
            <w:r>
              <w:rPr>
                <w:rFonts w:cs="Calibri" w:ascii="Arial" w:hAnsi="Arial"/>
                <w:color w:val="auto"/>
                <w:sz w:val="24"/>
                <w:szCs w:val="24"/>
              </w:rPr>
              <w:t>Rezerwy wycenia się w uzasadnionej, wiarygodnie oszacowanej wartości.</w:t>
            </w:r>
          </w:p>
          <w:p>
            <w:pPr>
              <w:pStyle w:val="Normal"/>
              <w:numPr>
                <w:ilvl w:val="0"/>
                <w:numId w:val="2"/>
              </w:numPr>
              <w:spacing w:lineRule="auto" w:line="240" w:before="0" w:after="0"/>
              <w:jc w:val="both"/>
              <w:rPr>
                <w:rFonts w:ascii="Arial" w:hAnsi="Arial"/>
                <w:color w:val="auto"/>
                <w:sz w:val="24"/>
                <w:szCs w:val="24"/>
              </w:rPr>
            </w:pPr>
            <w:r>
              <w:rPr>
                <w:rFonts w:cs="Calibri" w:ascii="Arial" w:hAnsi="Arial"/>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numPr>
                <w:ilvl w:val="0"/>
                <w:numId w:val="0"/>
              </w:numPr>
              <w:spacing w:lineRule="auto" w:line="240" w:before="0" w:after="0"/>
              <w:ind w:left="1205" w:hanging="0"/>
              <w:jc w:val="both"/>
              <w:rPr>
                <w:rFonts w:ascii="Arial Narrow" w:hAnsi="Arial Narrow" w:cs="Calibri"/>
              </w:rPr>
            </w:pPr>
            <w:r>
              <w:rPr>
                <w:rFonts w:cs="Calibri" w:ascii="Arial" w:hAnsi="Arial"/>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3"/>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Zasady amortyzacji (umorzenia) środków trwałych i wartości niematerialnych i prawnych.</w:t>
            </w:r>
          </w:p>
          <w:p>
            <w:pPr>
              <w:pStyle w:val="Normal"/>
              <w:numPr>
                <w:ilvl w:val="0"/>
                <w:numId w:val="0"/>
              </w:numPr>
              <w:spacing w:lineRule="auto" w:line="240" w:before="0" w:after="0"/>
              <w:ind w:left="720" w:hanging="0"/>
              <w:jc w:val="both"/>
              <w:rPr>
                <w:rFonts w:ascii="Arial Narrow" w:hAnsi="Arial Narrow" w:cs="Calibri"/>
                <w:lang w:eastAsia="pl-PL"/>
              </w:rPr>
            </w:pPr>
            <w:r>
              <w:rPr>
                <w:rFonts w:cs="Calibri" w:ascii="Arial" w:hAnsi="Arial"/>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numPr>
                <w:ilvl w:val="0"/>
                <w:numId w:val="0"/>
              </w:numPr>
              <w:spacing w:lineRule="auto" w:line="240" w:before="0" w:after="0"/>
              <w:ind w:left="720" w:hanging="0"/>
              <w:jc w:val="both"/>
              <w:rPr>
                <w:rFonts w:ascii="Arial Narrow" w:hAnsi="Arial Narrow" w:cs="Calibri"/>
                <w:lang w:eastAsia="pl-PL"/>
              </w:rPr>
            </w:pPr>
            <w:r>
              <w:rPr>
                <w:rFonts w:cs="Calibri" w:ascii="Arial" w:hAnsi="Arial"/>
                <w:color w:val="auto"/>
                <w:sz w:val="24"/>
                <w:szCs w:val="24"/>
                <w:lang w:eastAsia="pl-PL"/>
              </w:rPr>
              <w:t>Meble, krzesła, dywany, wykładziny ewidencjonowane są na koncie 013 – pozostałe środki trwałe - bez względu na wartość.</w:t>
            </w:r>
          </w:p>
          <w:p>
            <w:pPr>
              <w:pStyle w:val="Normal"/>
              <w:numPr>
                <w:ilvl w:val="0"/>
                <w:numId w:val="0"/>
              </w:numPr>
              <w:spacing w:lineRule="auto" w:line="240" w:before="0" w:after="0"/>
              <w:ind w:left="720" w:hanging="0"/>
              <w:jc w:val="both"/>
              <w:rPr>
                <w:rFonts w:ascii="Arial Narrow" w:hAnsi="Arial Narrow" w:cs="Calibri"/>
                <w:lang w:eastAsia="pl-PL"/>
              </w:rPr>
            </w:pPr>
            <w:r>
              <w:rPr>
                <w:rFonts w:cs="Calibri" w:ascii="Arial" w:hAnsi="Arial"/>
                <w:color w:val="auto"/>
                <w:sz w:val="24"/>
                <w:szCs w:val="24"/>
                <w:lang w:eastAsia="pl-PL"/>
              </w:rPr>
              <w:t>Środki dydaktyczne służące procesowi dydaktyczno-wychowawczemu (bez względu na wartość) umarzane jednorazowo ewidencjonuje się na koncie 013 – pozostałe środki trwałe.</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olor w:val="auto"/>
                <w:sz w:val="24"/>
                <w:szCs w:val="24"/>
              </w:rPr>
              <w:t>P</w:t>
            </w:r>
            <w:r>
              <w:rPr>
                <w:rFonts w:cs="Calibri" w:ascii="Arial" w:hAnsi="Arial"/>
                <w:color w:val="auto"/>
                <w:sz w:val="24"/>
                <w:szCs w:val="24"/>
              </w:rPr>
              <w:t xml:space="preserve">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ind w:left="196" w:hanging="0"/>
              <w:jc w:val="both"/>
              <w:rPr>
                <w:rFonts w:ascii="Arial Narrow" w:hAnsi="Arial Narrow" w:cs="Calibri"/>
              </w:rPr>
            </w:pPr>
            <w:r>
              <w:rPr>
                <w:rFonts w:cs="Calibri" w:ascii="Arial" w:hAnsi="Arial"/>
                <w:color w:val="auto"/>
                <w:sz w:val="24"/>
                <w:szCs w:val="24"/>
              </w:rPr>
              <w:t>Ponadto, bez względu na wartość jednorazowo umarza się:</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Książki i inne zbiory biblioteczne.</w:t>
            </w:r>
          </w:p>
          <w:p>
            <w:pPr>
              <w:pStyle w:val="Normal"/>
              <w:numPr>
                <w:ilvl w:val="0"/>
                <w:numId w:val="4"/>
              </w:numPr>
              <w:spacing w:lineRule="auto" w:line="240" w:before="0" w:after="0"/>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Środki dydaktyczne służące procesowi dydaktyczno-wychowawczemu realizowanemu w szkołach i placówkach oświatowych.</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Meble, dywany i wykładziny.</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numPr>
                <w:ilvl w:val="0"/>
                <w:numId w:val="0"/>
              </w:numPr>
              <w:spacing w:lineRule="auto" w:line="240" w:before="0" w:after="0"/>
              <w:ind w:left="1426" w:hanging="0"/>
              <w:jc w:val="both"/>
              <w:rPr>
                <w:rFonts w:ascii="Arial Narrow" w:hAnsi="Arial Narrow" w:cs="Calibri"/>
              </w:rPr>
            </w:pPr>
            <w:r>
              <w:rPr>
                <w:rFonts w:cs="Calibri" w:ascii="Arial" w:hAnsi="Arial"/>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5"/>
              </w:numPr>
              <w:spacing w:lineRule="auto" w:line="240" w:before="0" w:after="0"/>
              <w:jc w:val="both"/>
              <w:rPr>
                <w:rFonts w:ascii="Arial" w:hAnsi="Arial"/>
                <w:color w:val="auto"/>
                <w:sz w:val="24"/>
                <w:szCs w:val="24"/>
              </w:rPr>
            </w:pPr>
            <w:r>
              <w:rPr>
                <w:rFonts w:cs="Calibri" w:ascii="Arial" w:hAnsi="Arial"/>
                <w:bCs/>
                <w:color w:val="auto"/>
                <w:sz w:val="24"/>
                <w:szCs w:val="24"/>
              </w:rPr>
              <w:t xml:space="preserve"> </w:t>
            </w:r>
            <w:r>
              <w:rPr>
                <w:rFonts w:cs="Calibri" w:ascii="Arial" w:hAnsi="Arial"/>
                <w:bCs/>
                <w:color w:val="auto"/>
                <w:sz w:val="24"/>
                <w:szCs w:val="24"/>
              </w:rPr>
              <w:t>Ustala się następujące techniki dokumentowania zapisów księgowych oraz stosowanych uproszczeń:</w:t>
            </w:r>
          </w:p>
          <w:p>
            <w:pPr>
              <w:pStyle w:val="Normal"/>
              <w:numPr>
                <w:ilvl w:val="0"/>
                <w:numId w:val="6"/>
              </w:numPr>
              <w:spacing w:lineRule="auto" w:line="240" w:before="0" w:after="0"/>
              <w:ind w:left="196" w:hanging="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Księgi rachunkowe prowadzone są w siedzibie Centrum Usług Wspólnych Placówek Oświatowych na ul. Wojska Polskiego 27 we Włocławku.</w:t>
            </w:r>
          </w:p>
          <w:p>
            <w:pPr>
              <w:pStyle w:val="Normal"/>
              <w:numPr>
                <w:ilvl w:val="0"/>
                <w:numId w:val="6"/>
              </w:numPr>
              <w:spacing w:lineRule="auto" w:line="240" w:before="0" w:after="0"/>
              <w:ind w:left="196" w:hanging="0"/>
              <w:jc w:val="both"/>
              <w:rPr>
                <w:rFonts w:ascii="Arial" w:hAnsi="Arial"/>
                <w:color w:val="auto"/>
                <w:sz w:val="24"/>
                <w:szCs w:val="24"/>
              </w:rPr>
            </w:pPr>
            <w:r>
              <w:rPr>
                <w:rFonts w:cs="Calibri" w:ascii="Arial" w:hAnsi="Arial"/>
                <w:color w:val="auto"/>
                <w:sz w:val="24"/>
                <w:szCs w:val="24"/>
              </w:rPr>
              <w:t>Rokiem obrotowym jest okres roku budżetowego, czyli rok kalendarzowy od 1 stycznia do 31 grudnia.</w:t>
            </w:r>
          </w:p>
          <w:p>
            <w:pPr>
              <w:pStyle w:val="Normal"/>
              <w:numPr>
                <w:ilvl w:val="0"/>
                <w:numId w:val="6"/>
              </w:numPr>
              <w:spacing w:lineRule="auto" w:line="240" w:before="0" w:after="0"/>
              <w:ind w:left="196" w:hanging="0"/>
              <w:jc w:val="both"/>
              <w:rPr>
                <w:rFonts w:ascii="Arial" w:hAnsi="Arial"/>
                <w:color w:val="auto"/>
                <w:sz w:val="24"/>
                <w:szCs w:val="24"/>
              </w:rPr>
            </w:pPr>
            <w:r>
              <w:rPr>
                <w:rFonts w:cs="Calibri" w:ascii="Arial" w:hAnsi="Arial"/>
                <w:color w:val="auto"/>
                <w:sz w:val="24"/>
                <w:szCs w:val="24"/>
              </w:rPr>
              <w:t>Najkrótszym okresem sprawozdawczym są poszczególne miesiące.</w:t>
            </w:r>
          </w:p>
          <w:p>
            <w:pPr>
              <w:pStyle w:val="Normal"/>
              <w:numPr>
                <w:ilvl w:val="0"/>
                <w:numId w:val="6"/>
              </w:numPr>
              <w:spacing w:lineRule="auto" w:line="240" w:before="0" w:after="0"/>
              <w:ind w:left="376" w:hanging="180"/>
              <w:jc w:val="both"/>
              <w:rPr>
                <w:rFonts w:ascii="Arial" w:hAnsi="Arial"/>
                <w:color w:val="auto"/>
                <w:sz w:val="24"/>
                <w:szCs w:val="24"/>
              </w:rPr>
            </w:pPr>
            <w:r>
              <w:rPr>
                <w:rFonts w:cs="Calibri" w:ascii="Arial" w:hAnsi="Arial"/>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6"/>
              </w:numPr>
              <w:spacing w:lineRule="auto" w:line="240" w:before="0" w:after="0"/>
              <w:ind w:left="196" w:hanging="0"/>
              <w:jc w:val="both"/>
              <w:rPr>
                <w:rFonts w:ascii="Arial" w:hAnsi="Arial"/>
                <w:color w:val="auto"/>
                <w:sz w:val="24"/>
                <w:szCs w:val="24"/>
              </w:rPr>
            </w:pPr>
            <w:r>
              <w:rPr>
                <w:rFonts w:cs="Calibri" w:ascii="Arial" w:hAnsi="Arial"/>
                <w:color w:val="auto"/>
                <w:sz w:val="24"/>
                <w:szCs w:val="24"/>
              </w:rPr>
              <w:t>Księgi rachunkowe prowadzi się w języku polskim.</w:t>
            </w:r>
          </w:p>
          <w:p>
            <w:pPr>
              <w:pStyle w:val="Normal"/>
              <w:numPr>
                <w:ilvl w:val="0"/>
                <w:numId w:val="6"/>
              </w:numPr>
              <w:spacing w:lineRule="auto" w:line="240" w:before="0" w:after="0"/>
              <w:ind w:left="376" w:hanging="180"/>
              <w:jc w:val="both"/>
              <w:rPr>
                <w:rFonts w:ascii="Arial" w:hAnsi="Arial"/>
                <w:color w:val="auto"/>
                <w:sz w:val="24"/>
                <w:szCs w:val="24"/>
              </w:rPr>
            </w:pPr>
            <w:r>
              <w:rPr>
                <w:rFonts w:cs="Calibri" w:ascii="Arial" w:hAnsi="Arial"/>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6"/>
              </w:numPr>
              <w:spacing w:lineRule="auto" w:line="240" w:before="0" w:after="0"/>
              <w:ind w:left="196" w:hanging="0"/>
              <w:jc w:val="both"/>
              <w:rPr>
                <w:rFonts w:ascii="Arial" w:hAnsi="Arial"/>
                <w:color w:val="auto"/>
                <w:sz w:val="24"/>
                <w:szCs w:val="24"/>
              </w:rPr>
            </w:pPr>
            <w:r>
              <w:rPr>
                <w:rFonts w:cs="Calibri" w:ascii="Arial" w:hAnsi="Arial"/>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6"/>
              </w:numPr>
              <w:spacing w:lineRule="auto" w:line="240" w:before="0" w:after="0"/>
              <w:ind w:left="376" w:hanging="180"/>
              <w:jc w:val="both"/>
              <w:rPr>
                <w:rFonts w:ascii="Arial" w:hAnsi="Arial"/>
                <w:color w:val="auto"/>
                <w:sz w:val="24"/>
                <w:szCs w:val="24"/>
              </w:rPr>
            </w:pPr>
            <w:r>
              <w:rPr>
                <w:rFonts w:cs="Calibri" w:ascii="Arial" w:hAnsi="Arial"/>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6"/>
              </w:numPr>
              <w:spacing w:lineRule="auto" w:line="240" w:before="0" w:after="0"/>
              <w:ind w:left="196" w:hanging="0"/>
              <w:jc w:val="both"/>
              <w:rPr>
                <w:rFonts w:ascii="Arial" w:hAnsi="Arial"/>
                <w:color w:val="auto"/>
                <w:sz w:val="24"/>
                <w:szCs w:val="24"/>
              </w:rPr>
            </w:pPr>
            <w:r>
              <w:rPr>
                <w:rFonts w:cs="Calibri" w:ascii="Arial" w:hAnsi="Arial"/>
                <w:color w:val="auto"/>
                <w:sz w:val="24"/>
                <w:szCs w:val="24"/>
              </w:rPr>
              <w:t>Księgi rachunkowe obejmują zbiory zapisów księgowych, obrotów i sald, które tworzą:</w:t>
            </w:r>
          </w:p>
          <w:p>
            <w:pPr>
              <w:pStyle w:val="Normal"/>
              <w:numPr>
                <w:ilvl w:val="0"/>
                <w:numId w:val="7"/>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dziennik,</w:t>
            </w:r>
          </w:p>
          <w:p>
            <w:pPr>
              <w:pStyle w:val="Normal"/>
              <w:numPr>
                <w:ilvl w:val="0"/>
                <w:numId w:val="7"/>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księgę główną (ewidencji syntetycznej) w której obowiązuje ujęcie każdej operacji zgodnie z zasadą podwójnego zapisu (Wn – Ma),</w:t>
            </w:r>
          </w:p>
          <w:p>
            <w:pPr>
              <w:pStyle w:val="Normal"/>
              <w:numPr>
                <w:ilvl w:val="0"/>
                <w:numId w:val="7"/>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księgi pomocnicze (analityczne),</w:t>
            </w:r>
          </w:p>
          <w:p>
            <w:pPr>
              <w:pStyle w:val="Normal"/>
              <w:numPr>
                <w:ilvl w:val="0"/>
                <w:numId w:val="7"/>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zestawienie obrotów i sald księgi głównej i ksiąg pomocniczych,</w:t>
            </w:r>
          </w:p>
          <w:p>
            <w:pPr>
              <w:pStyle w:val="Normal"/>
              <w:numPr>
                <w:ilvl w:val="0"/>
                <w:numId w:val="7"/>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wykaz składników aktywów i pasywów (inwentarz).</w:t>
            </w:r>
          </w:p>
          <w:p>
            <w:pPr>
              <w:pStyle w:val="Normal"/>
              <w:numPr>
                <w:ilvl w:val="0"/>
                <w:numId w:val="0"/>
              </w:numPr>
              <w:spacing w:lineRule="auto" w:line="240" w:before="0" w:after="0"/>
              <w:ind w:left="1096" w:hanging="0"/>
              <w:rPr>
                <w:rFonts w:ascii="Arial Narrow" w:hAnsi="Arial Narrow" w:cs="Calibri"/>
              </w:rPr>
            </w:pPr>
            <w:r>
              <w:rPr>
                <w:rFonts w:cs="Calibri" w:ascii="Arial" w:hAnsi="Arial"/>
                <w:color w:val="auto"/>
                <w:sz w:val="24"/>
                <w:szCs w:val="24"/>
              </w:rPr>
              <w:t>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8"/>
              </w:numPr>
              <w:spacing w:lineRule="auto" w:line="240" w:before="0" w:after="0"/>
              <w:ind w:left="196" w:hanging="0"/>
              <w:jc w:val="both"/>
              <w:rPr>
                <w:rFonts w:ascii="Arial" w:hAnsi="Arial"/>
                <w:color w:val="auto"/>
                <w:sz w:val="24"/>
                <w:szCs w:val="24"/>
              </w:rPr>
            </w:pPr>
            <w:r>
              <w:rPr>
                <w:rFonts w:cs="Calibri" w:ascii="Arial" w:hAnsi="Arial"/>
                <w:color w:val="auto"/>
                <w:sz w:val="24"/>
                <w:szCs w:val="24"/>
              </w:rPr>
              <w:t>Zapisy w księgach rachunkowych dokonuje się na podstawie dowodów księgowych: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zewnętrznych (otrzymywanych od kontrahentów - przekazywanych w oryginale kontrahentom),</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wewnętrznych – (dotyczące operacji wewnątrz jednostki).</w:t>
            </w:r>
          </w:p>
          <w:p>
            <w:pPr>
              <w:pStyle w:val="Normal"/>
              <w:numPr>
                <w:ilvl w:val="0"/>
                <w:numId w:val="0"/>
              </w:numPr>
              <w:spacing w:lineRule="auto" w:line="240" w:before="0" w:after="0"/>
              <w:ind w:left="1096" w:hanging="0"/>
              <w:jc w:val="both"/>
              <w:rPr>
                <w:rFonts w:ascii="Arial Narrow" w:hAnsi="Arial Narrow" w:cs="Calibri"/>
              </w:rPr>
            </w:pPr>
            <w:r>
              <w:rPr>
                <w:rFonts w:cs="Calibri" w:ascii="Arial" w:hAnsi="Arial"/>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8"/>
              </w:numPr>
              <w:spacing w:lineRule="auto" w:line="240" w:before="0" w:after="0"/>
              <w:ind w:left="196" w:hanging="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Konta syntetyczne oznaczone są symbolami trzycyfrowymi.</w:t>
            </w:r>
          </w:p>
          <w:p>
            <w:pPr>
              <w:pStyle w:val="Normal"/>
              <w:numPr>
                <w:ilvl w:val="0"/>
                <w:numId w:val="8"/>
              </w:numPr>
              <w:spacing w:lineRule="auto" w:line="240" w:before="0" w:after="0"/>
              <w:ind w:left="376" w:hanging="18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8"/>
              </w:numPr>
              <w:spacing w:lineRule="auto" w:line="240" w:before="0" w:after="0"/>
              <w:ind w:left="376" w:hanging="180"/>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Prowadzone są dzienniki częściowe dla określonych grup rodzajowych zdarzeń: budżet, dochody (w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8"/>
              </w:numPr>
              <w:spacing w:lineRule="auto" w:line="240" w:before="0" w:after="0"/>
              <w:ind w:left="196" w:hanging="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Rozliczanie i grupowanie kosztów następuje na kontach rodzajowych zespołu „4” z zachowaniem zgodności wydatków za dany rok.</w:t>
            </w:r>
          </w:p>
          <w:p>
            <w:pPr>
              <w:pStyle w:val="Normal"/>
              <w:numPr>
                <w:ilvl w:val="0"/>
                <w:numId w:val="8"/>
              </w:numPr>
              <w:spacing w:lineRule="auto" w:line="240" w:before="0" w:after="0"/>
              <w:ind w:left="196" w:hanging="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Dochody i wydatki budżetowe klasyfikuje się według:</w:t>
            </w:r>
          </w:p>
          <w:p>
            <w:pPr>
              <w:pStyle w:val="Normal"/>
              <w:numPr>
                <w:ilvl w:val="0"/>
                <w:numId w:val="10"/>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działów i rozdziałów – określających rodzaj działalności,</w:t>
            </w:r>
          </w:p>
          <w:p>
            <w:pPr>
              <w:pStyle w:val="Normal"/>
              <w:numPr>
                <w:ilvl w:val="0"/>
                <w:numId w:val="10"/>
              </w:numPr>
              <w:spacing w:lineRule="auto" w:line="240" w:before="0" w:after="0"/>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paragrafów - określających rodzaj dochodu lub wydatku, zgodnie z obowiązującą klasyfikacją budżetową,</w:t>
            </w:r>
          </w:p>
          <w:p>
            <w:pPr>
              <w:pStyle w:val="Normal"/>
              <w:numPr>
                <w:ilvl w:val="0"/>
                <w:numId w:val="10"/>
              </w:numPr>
              <w:spacing w:lineRule="auto" w:line="240" w:before="0" w:after="0"/>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pozycji – uszczegółowienie dochodów i wydatków do potrzeb analiz i sprawozdań.</w:t>
            </w:r>
          </w:p>
          <w:p>
            <w:pPr>
              <w:pStyle w:val="Normal"/>
              <w:numPr>
                <w:ilvl w:val="0"/>
                <w:numId w:val="8"/>
              </w:numPr>
              <w:spacing w:lineRule="auto" w:line="240" w:before="0" w:after="0"/>
              <w:ind w:left="376" w:hanging="18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Wydatki budżetowe są realizowane:</w:t>
            </w:r>
          </w:p>
          <w:p>
            <w:pPr>
              <w:pStyle w:val="Normal"/>
              <w:numPr>
                <w:ilvl w:val="0"/>
                <w:numId w:val="11"/>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 sposób celowy i oszczędny,</w:t>
            </w:r>
          </w:p>
          <w:p>
            <w:pPr>
              <w:pStyle w:val="Normal"/>
              <w:numPr>
                <w:ilvl w:val="0"/>
                <w:numId w:val="11"/>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umożliwiający terminową realizację zadań,</w:t>
            </w:r>
          </w:p>
          <w:p>
            <w:pPr>
              <w:pStyle w:val="Normal"/>
              <w:numPr>
                <w:ilvl w:val="0"/>
                <w:numId w:val="11"/>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 wysokości i terminach wynikających z wcześniej zaciągniętych zobowiązań,</w:t>
            </w:r>
          </w:p>
          <w:p>
            <w:pPr>
              <w:pStyle w:val="Normal"/>
              <w:numPr>
                <w:ilvl w:val="0"/>
                <w:numId w:val="11"/>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zgodnie z zasadami określonymi w przepisach o zamówieniach publicznych,</w:t>
            </w:r>
          </w:p>
          <w:p>
            <w:pPr>
              <w:pStyle w:val="Normal"/>
              <w:numPr>
                <w:ilvl w:val="0"/>
                <w:numId w:val="11"/>
              </w:numPr>
              <w:spacing w:lineRule="auto" w:line="240" w:before="0" w:after="0"/>
              <w:jc w:val="both"/>
              <w:rPr>
                <w:rFonts w:ascii="Arial" w:hAnsi="Arial"/>
                <w:color w:val="auto"/>
                <w:sz w:val="24"/>
                <w:szCs w:val="24"/>
              </w:rPr>
            </w:pPr>
            <w:r>
              <w:rPr>
                <w:rFonts w:cs="Calibri" w:ascii="Arial" w:hAnsi="Arial"/>
                <w:color w:val="auto"/>
                <w:sz w:val="24"/>
                <w:szCs w:val="24"/>
              </w:rPr>
              <w:t>nie powodując naruszeń dyscypliny budżetowej w rozumieniu Ustawy o odpowiedzialności za naruszenie dyscypliny finansów publicznych.</w:t>
            </w:r>
          </w:p>
          <w:p>
            <w:pPr>
              <w:pStyle w:val="Normal"/>
              <w:numPr>
                <w:ilvl w:val="0"/>
                <w:numId w:val="8"/>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8"/>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8"/>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8"/>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8"/>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numPr>
                <w:ilvl w:val="0"/>
                <w:numId w:val="0"/>
              </w:numPr>
              <w:spacing w:lineRule="auto" w:line="240" w:before="0" w:after="0"/>
              <w:ind w:left="1276" w:hanging="0"/>
              <w:jc w:val="both"/>
              <w:rPr>
                <w:rFonts w:ascii="Arial" w:hAnsi="Arial"/>
                <w:color w:val="auto"/>
                <w:sz w:val="24"/>
                <w:szCs w:val="24"/>
              </w:rPr>
            </w:pPr>
            <w:r>
              <w:rPr>
                <w:rFonts w:cs="Calibri" w:ascii="Arial" w:hAnsi="Arial"/>
                <w:color w:val="auto"/>
                <w:sz w:val="24"/>
                <w:szCs w:val="24"/>
              </w:rPr>
              <w:t>Szczególnie dowodami zastępczymi dokumentowane są: różne opłaty (sądowe itp.),</w:t>
            </w:r>
          </w:p>
          <w:p>
            <w:pPr>
              <w:pStyle w:val="Normal"/>
              <w:numPr>
                <w:ilvl w:val="0"/>
                <w:numId w:val="12"/>
              </w:numPr>
              <w:spacing w:lineRule="auto" w:line="240" w:before="0" w:after="0"/>
              <w:jc w:val="both"/>
              <w:rPr>
                <w:rFonts w:ascii="Arial Narrow" w:hAnsi="Arial Narrow" w:cs="Calibri"/>
              </w:rPr>
            </w:pPr>
            <w:r>
              <w:rPr>
                <w:rFonts w:cs="Calibri" w:ascii="Arial" w:hAnsi="Arial"/>
                <w:color w:val="auto"/>
                <w:sz w:val="24"/>
                <w:szCs w:val="24"/>
              </w:rPr>
              <w:t>pokwitowania za parkingi</w:t>
            </w:r>
          </w:p>
          <w:p>
            <w:pPr>
              <w:pStyle w:val="Normal"/>
              <w:numPr>
                <w:ilvl w:val="0"/>
                <w:numId w:val="12"/>
              </w:numPr>
              <w:spacing w:lineRule="auto" w:line="240" w:before="0" w:after="0"/>
              <w:jc w:val="both"/>
              <w:rPr>
                <w:rFonts w:ascii="Arial" w:hAnsi="Arial"/>
                <w:color w:val="auto"/>
                <w:sz w:val="24"/>
                <w:szCs w:val="24"/>
              </w:rPr>
            </w:pPr>
            <w:r>
              <w:rPr>
                <w:rFonts w:cs="Calibri" w:ascii="Arial" w:hAnsi="Arial"/>
                <w:color w:val="auto"/>
                <w:sz w:val="24"/>
                <w:szCs w:val="24"/>
              </w:rPr>
              <w:t>opłaty za przejazdy autostradami,</w:t>
            </w:r>
          </w:p>
          <w:p>
            <w:pPr>
              <w:pStyle w:val="Normal"/>
              <w:numPr>
                <w:ilvl w:val="0"/>
                <w:numId w:val="12"/>
              </w:numPr>
              <w:spacing w:lineRule="auto" w:line="240" w:before="0" w:after="0"/>
              <w:jc w:val="both"/>
              <w:rPr>
                <w:rFonts w:ascii="Arial Narrow" w:hAnsi="Arial Narrow" w:cs="Calibri"/>
              </w:rPr>
            </w:pPr>
            <w:r>
              <w:rPr>
                <w:rFonts w:cs="Calibri" w:ascii="Arial" w:hAnsi="Arial"/>
                <w:color w:val="auto"/>
                <w:sz w:val="24"/>
                <w:szCs w:val="24"/>
              </w:rPr>
              <w:t>opłaty za abonament radiowo-telewizyjny,</w:t>
            </w:r>
          </w:p>
          <w:p>
            <w:pPr>
              <w:pStyle w:val="Normal"/>
              <w:numPr>
                <w:ilvl w:val="0"/>
                <w:numId w:val="12"/>
              </w:numPr>
              <w:spacing w:lineRule="auto" w:line="240" w:before="0" w:after="0"/>
              <w:jc w:val="both"/>
              <w:rPr>
                <w:rFonts w:ascii="Arial Narrow" w:hAnsi="Arial Narrow" w:cs="Calibri"/>
              </w:rPr>
            </w:pPr>
            <w:r>
              <w:rPr>
                <w:rFonts w:cs="Calibri" w:ascii="Arial" w:hAnsi="Arial"/>
                <w:color w:val="auto"/>
                <w:sz w:val="24"/>
                <w:szCs w:val="24"/>
              </w:rPr>
              <w:t>opłaty za udział w targach szkół i placówek,</w:t>
            </w:r>
          </w:p>
          <w:p>
            <w:pPr>
              <w:pStyle w:val="Normal"/>
              <w:numPr>
                <w:ilvl w:val="0"/>
                <w:numId w:val="12"/>
              </w:numPr>
              <w:spacing w:lineRule="auto" w:line="240" w:before="0" w:after="0"/>
              <w:jc w:val="both"/>
              <w:rPr>
                <w:rFonts w:ascii="Arial Narrow" w:hAnsi="Arial Narrow" w:cs="Calibri"/>
              </w:rPr>
            </w:pPr>
            <w:r>
              <w:rPr>
                <w:rFonts w:cs="Calibri" w:ascii="Arial" w:hAnsi="Arial"/>
                <w:color w:val="auto"/>
                <w:sz w:val="24"/>
                <w:szCs w:val="24"/>
              </w:rPr>
              <w:t>pokwitowanie za listy polecone,</w:t>
            </w:r>
          </w:p>
          <w:p>
            <w:pPr>
              <w:pStyle w:val="Normal"/>
              <w:numPr>
                <w:ilvl w:val="0"/>
                <w:numId w:val="12"/>
              </w:numPr>
              <w:spacing w:lineRule="auto" w:line="240" w:before="0" w:after="0"/>
              <w:jc w:val="both"/>
              <w:rPr>
                <w:rFonts w:ascii="Arial Narrow" w:hAnsi="Arial Narrow" w:cs="Calibri"/>
              </w:rPr>
            </w:pPr>
            <w:r>
              <w:rPr>
                <w:rFonts w:cs="Calibri" w:ascii="Arial" w:hAnsi="Arial"/>
                <w:color w:val="auto"/>
                <w:sz w:val="24"/>
                <w:szCs w:val="24"/>
              </w:rPr>
              <w:t>podatek od nieruchomości,</w:t>
            </w:r>
          </w:p>
          <w:p>
            <w:pPr>
              <w:pStyle w:val="Normal"/>
              <w:numPr>
                <w:ilvl w:val="0"/>
                <w:numId w:val="12"/>
              </w:numPr>
              <w:spacing w:lineRule="auto" w:line="240" w:before="0" w:after="0"/>
              <w:jc w:val="both"/>
              <w:rPr>
                <w:rFonts w:ascii="Arial Narrow" w:hAnsi="Arial Narrow" w:cs="Calibri"/>
              </w:rPr>
            </w:pPr>
            <w:r>
              <w:rPr>
                <w:rFonts w:cs="Calibri" w:ascii="Arial" w:hAnsi="Arial"/>
                <w:color w:val="auto"/>
                <w:sz w:val="24"/>
                <w:szCs w:val="24"/>
              </w:rPr>
              <w:t>podatek od środków transportu,</w:t>
            </w:r>
          </w:p>
          <w:p>
            <w:pPr>
              <w:pStyle w:val="Normal"/>
              <w:numPr>
                <w:ilvl w:val="0"/>
                <w:numId w:val="12"/>
              </w:numPr>
              <w:spacing w:lineRule="auto" w:line="240" w:before="0" w:after="0"/>
              <w:jc w:val="both"/>
              <w:rPr>
                <w:rFonts w:ascii="Arial" w:hAnsi="Arial"/>
                <w:color w:val="auto"/>
                <w:sz w:val="24"/>
                <w:szCs w:val="24"/>
              </w:rPr>
            </w:pPr>
            <w:r>
              <w:rPr>
                <w:rFonts w:cs="Calibri" w:ascii="Arial" w:hAnsi="Arial"/>
                <w:color w:val="auto"/>
                <w:sz w:val="24"/>
                <w:szCs w:val="24"/>
              </w:rPr>
              <w:t>świadczenia dla pracowników z ZFŚS zgodnie z dyspozycją pisemną Kierownika jednostki obsługiwanej,</w:t>
            </w:r>
          </w:p>
          <w:p>
            <w:pPr>
              <w:pStyle w:val="Normal"/>
              <w:numPr>
                <w:ilvl w:val="0"/>
                <w:numId w:val="12"/>
              </w:numPr>
              <w:spacing w:lineRule="auto" w:line="240" w:before="0" w:after="0"/>
              <w:jc w:val="both"/>
              <w:rPr>
                <w:rFonts w:ascii="Arial Narrow" w:hAnsi="Arial Narrow" w:cs="Calibri"/>
              </w:rPr>
            </w:pPr>
            <w:r>
              <w:rPr>
                <w:rFonts w:cs="Calibri" w:ascii="Arial" w:hAnsi="Arial"/>
                <w:color w:val="auto"/>
                <w:sz w:val="24"/>
                <w:szCs w:val="24"/>
              </w:rPr>
              <w:t>bilety przy delegacjach służbowych.</w:t>
            </w:r>
          </w:p>
          <w:p>
            <w:pPr>
              <w:pStyle w:val="Normal"/>
              <w:numPr>
                <w:ilvl w:val="0"/>
                <w:numId w:val="8"/>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0"/>
              <w:ind w:left="196" w:hanging="0"/>
              <w:jc w:val="both"/>
              <w:rPr>
                <w:rFonts w:ascii="Arial Narrow" w:hAnsi="Arial Narrow" w:cs="Calibri"/>
                <w:b/>
                <w:b/>
              </w:rPr>
            </w:pPr>
            <w:r>
              <w:rPr>
                <w:rFonts w:cs="Calibri" w:ascii="Arial" w:hAnsi="Arial"/>
                <w:color w:val="auto"/>
                <w:sz w:val="24"/>
                <w:szCs w:val="24"/>
              </w:rPr>
              <w:t>Dokonano wyboru następujących rozwiązań dokumentowania operacji dopuszczalnych ustawą:</w:t>
            </w:r>
          </w:p>
          <w:p>
            <w:pPr>
              <w:pStyle w:val="Normal"/>
              <w:numPr>
                <w:ilvl w:val="0"/>
                <w:numId w:val="13"/>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3"/>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3"/>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3"/>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3"/>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3"/>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3"/>
              </w:numPr>
              <w:spacing w:lineRule="auto" w:line="240" w:before="0" w:after="0"/>
              <w:ind w:left="556" w:hanging="180"/>
              <w:contextualSpacing/>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Należy również ujmować wszystkie etapy rozliczeń poprzedzające płatności dochodów i wydatków, 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3"/>
              </w:numPr>
              <w:spacing w:lineRule="auto" w:line="240" w:before="0" w:after="0"/>
              <w:ind w:left="556" w:hanging="180"/>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Odsetki od należności, ujmuje się w księgach rachunkowych w momencie ich zapłaty lub na koniec kwartału w wysokości odsetek należnych na koniec tego kwartału.</w:t>
            </w:r>
          </w:p>
          <w:p>
            <w:pPr>
              <w:pStyle w:val="Normal"/>
              <w:numPr>
                <w:ilvl w:val="0"/>
                <w:numId w:val="13"/>
              </w:numPr>
              <w:spacing w:lineRule="auto" w:line="240" w:before="0" w:after="0"/>
              <w:ind w:left="556" w:hanging="180"/>
              <w:jc w:val="both"/>
              <w:rPr>
                <w:rFonts w:ascii="Arial" w:hAnsi="Arial"/>
                <w:color w:val="auto"/>
                <w:sz w:val="24"/>
                <w:szCs w:val="24"/>
              </w:rPr>
            </w:pPr>
            <w:r>
              <w:rPr>
                <w:rFonts w:cs="Calibri" w:ascii="Arial" w:hAnsi="Arial"/>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3"/>
              </w:numPr>
              <w:spacing w:lineRule="auto" w:line="240" w:before="0" w:after="0"/>
              <w:ind w:left="556" w:hanging="18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Wycena aktywów i pasywów wyrażonych w walutach obcych dokonuje się nie później niż na koniec kwartału.</w:t>
            </w:r>
          </w:p>
          <w:p>
            <w:pPr>
              <w:pStyle w:val="Normal"/>
              <w:numPr>
                <w:ilvl w:val="0"/>
                <w:numId w:val="13"/>
              </w:numPr>
              <w:spacing w:lineRule="auto" w:line="240" w:before="0" w:after="0"/>
              <w:ind w:left="556" w:hanging="18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4"/>
              </w:numPr>
              <w:spacing w:lineRule="auto" w:line="240" w:before="0" w:after="0"/>
              <w:ind w:left="16" w:hanging="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Rozliczenia z tytułu VAT.</w:t>
            </w:r>
          </w:p>
          <w:p>
            <w:pPr>
              <w:pStyle w:val="Normal"/>
              <w:numPr>
                <w:ilvl w:val="0"/>
                <w:numId w:val="15"/>
              </w:numPr>
              <w:spacing w:lineRule="auto" w:line="240" w:before="0" w:after="240"/>
              <w:jc w:val="both"/>
              <w:rPr>
                <w:rFonts w:ascii="Arial" w:hAnsi="Arial"/>
                <w:color w:val="auto"/>
                <w:sz w:val="24"/>
                <w:szCs w:val="24"/>
              </w:rPr>
            </w:pPr>
            <w:r>
              <w:rPr>
                <w:rFonts w:eastAsia="Times New Roman" w:cs="Segoe UI" w:ascii="Arial" w:hAnsi="Arial"/>
                <w:color w:val="auto"/>
                <w:sz w:val="24"/>
                <w:szCs w:val="24"/>
                <w:lang w:eastAsia="pl-PL"/>
              </w:rPr>
              <w:t>.Z dniem 01 czerwca 2016 roku Gmina Miasto Włocławek wprowadziła scentralizowane zasady rozliczeń podatku od towarów i usług VAT, w związku z powyższym zasady ustalone przez Gminę Miasto Włocławek obejmują jednostki obsługiwane i CUWPO. W sprawie rozliczania podatku VAT metodą podzielonej płatności obowiązuje Zarządzenie nr 449/2019 Prezydenta Miasta Włocławek z dnia 31 października 2019 r.</w:t>
            </w:r>
          </w:p>
          <w:p>
            <w:pPr>
              <w:pStyle w:val="Normal"/>
              <w:spacing w:lineRule="auto" w:line="240" w:before="0" w:after="240"/>
              <w:ind w:left="393" w:hanging="142"/>
              <w:rPr>
                <w:rFonts w:ascii="Arial" w:hAnsi="Arial"/>
                <w:color w:val="auto"/>
                <w:sz w:val="24"/>
                <w:szCs w:val="24"/>
              </w:rPr>
            </w:pPr>
            <w:r>
              <w:rPr>
                <w:rFonts w:eastAsia="Times New Roman" w:cs="Segoe UI" w:ascii="Arial" w:hAnsi="Arial"/>
                <w:color w:val="auto"/>
                <w:sz w:val="24"/>
                <w:szCs w:val="24"/>
                <w:lang w:eastAsia="pl-PL"/>
              </w:rPr>
              <w:t>W celu realizacji MPP (Mechanizm Podzielonej Płatności)</w:t>
            </w:r>
            <w:r>
              <w:rPr>
                <w:rFonts w:eastAsia="Times New Roman" w:cs="Segoe UI" w:ascii="Arial" w:hAnsi="Arial"/>
                <w:b/>
                <w:bCs/>
                <w:color w:val="auto"/>
                <w:sz w:val="24"/>
                <w:szCs w:val="24"/>
                <w:lang w:eastAsia="pl-PL"/>
              </w:rPr>
              <w:t>  </w:t>
            </w:r>
            <w:r>
              <w:rPr>
                <w:rFonts w:eastAsia="Times New Roman" w:cs="Segoe UI" w:ascii="Arial" w:hAnsi="Arial"/>
                <w:color w:val="auto"/>
                <w:sz w:val="24"/>
                <w:szCs w:val="24"/>
                <w:lang w:eastAsia="pl-PL"/>
              </w:rPr>
              <w:t>wydzielono w księgach rachunkowych dodatkowe konta analityczne " VAT".</w:t>
            </w:r>
          </w:p>
          <w:p>
            <w:pPr>
              <w:pStyle w:val="Normal"/>
              <w:numPr>
                <w:ilvl w:val="0"/>
                <w:numId w:val="16"/>
              </w:numPr>
              <w:spacing w:lineRule="auto" w:line="240" w:before="0" w:after="0"/>
              <w:ind w:left="16" w:hanging="0"/>
              <w:jc w:val="both"/>
              <w:rPr>
                <w:rFonts w:ascii="Arial Narrow" w:hAnsi="Arial Narrow" w:cs="Calibri"/>
                <w:bCs/>
              </w:rPr>
            </w:pPr>
            <w:r>
              <w:rPr>
                <w:rFonts w:cs="Calibri" w:ascii="Arial" w:hAnsi="Arial"/>
                <w:b/>
                <w:bCs/>
                <w:color w:val="auto"/>
                <w:sz w:val="24"/>
                <w:szCs w:val="24"/>
              </w:rPr>
              <w:t>V</w:t>
            </w:r>
            <w:r>
              <w:rPr>
                <w:rFonts w:cs="Calibri" w:ascii="Arial" w:hAnsi="Arial"/>
                <w:bCs/>
                <w:color w:val="auto"/>
                <w:sz w:val="24"/>
                <w:szCs w:val="24"/>
              </w:rPr>
              <w:t>. Sprawozdawczość finansowa:</w:t>
            </w:r>
          </w:p>
          <w:p>
            <w:pPr>
              <w:pStyle w:val="Normal"/>
              <w:numPr>
                <w:ilvl w:val="0"/>
                <w:numId w:val="17"/>
              </w:numPr>
              <w:spacing w:lineRule="auto" w:line="240" w:before="0" w:after="0"/>
              <w:ind w:left="376" w:hanging="18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18"/>
              </w:numPr>
              <w:spacing w:lineRule="auto" w:line="240" w:before="0" w:after="0"/>
              <w:ind w:left="16" w:hanging="0"/>
              <w:jc w:val="both"/>
              <w:rPr>
                <w:rFonts w:ascii="Arial" w:hAnsi="Arial"/>
                <w:color w:val="auto"/>
                <w:sz w:val="24"/>
                <w:szCs w:val="24"/>
              </w:rPr>
            </w:pPr>
            <w:r>
              <w:rPr>
                <w:rFonts w:cs="Calibri" w:ascii="Arial" w:hAnsi="Arial"/>
                <w:bCs/>
                <w:iCs/>
                <w:color w:val="auto"/>
                <w:sz w:val="24"/>
                <w:szCs w:val="24"/>
              </w:rPr>
              <w:t xml:space="preserve"> </w:t>
            </w:r>
            <w:r>
              <w:rPr>
                <w:rFonts w:cs="Calibri" w:ascii="Arial" w:hAnsi="Arial"/>
                <w:bCs/>
                <w:iCs/>
                <w:color w:val="auto"/>
                <w:sz w:val="24"/>
                <w:szCs w:val="24"/>
              </w:rPr>
              <w:t>Księgi rachunkowe prowadzi się techniką komputerową wg następującego oprogramowania:</w:t>
            </w:r>
          </w:p>
          <w:p>
            <w:pPr>
              <w:pStyle w:val="Normal"/>
              <w:numPr>
                <w:ilvl w:val="0"/>
                <w:numId w:val="19"/>
              </w:numPr>
              <w:spacing w:lineRule="auto" w:line="240" w:before="0" w:after="0"/>
              <w:ind w:left="376" w:hanging="180"/>
              <w:rPr>
                <w:rFonts w:ascii="Arial" w:hAnsi="Arial"/>
                <w:color w:val="auto"/>
                <w:sz w:val="24"/>
                <w:szCs w:val="24"/>
              </w:rPr>
            </w:pPr>
            <w:r>
              <w:rPr>
                <w:rFonts w:cs="Calibri" w:ascii="Arial" w:hAnsi="Arial"/>
                <w:color w:val="auto"/>
                <w:sz w:val="24"/>
                <w:szCs w:val="24"/>
              </w:rPr>
              <w:t xml:space="preserve">. Vulcan aplikacja Finanse VULCAN wersja zgodna z aktualizacjami programu - firma Vulcan Sp. z o.o. ul. Wołowska 6, 51-116 Wrocław. Administratorem platformy systemu Vulcan jest Gmina Miasto Włocławek. </w:t>
            </w:r>
          </w:p>
          <w:p>
            <w:pPr>
              <w:pStyle w:val="Normal"/>
              <w:spacing w:lineRule="auto" w:line="240" w:before="0" w:after="0"/>
              <w:rPr>
                <w:rFonts w:ascii="Arial" w:hAnsi="Arial" w:cs="Calibri"/>
                <w:b/>
                <w:b/>
                <w:color w:val="auto"/>
                <w:sz w:val="24"/>
                <w:szCs w:val="24"/>
              </w:rPr>
            </w:pPr>
            <w:r>
              <w:rPr>
                <w:rFonts w:cs="Calibri" w:ascii="Arial" w:hAnsi="Arial"/>
                <w:b/>
                <w:color w:val="auto"/>
                <w:sz w:val="24"/>
                <w:szCs w:val="24"/>
              </w:rPr>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5.</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inne informacje</w:t>
            </w:r>
          </w:p>
        </w:tc>
      </w:tr>
      <w:tr>
        <w:trPr>
          <w:trHeight w:val="682" w:hRule="atLeast"/>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b/>
                <w:b/>
                <w:sz w:val="20"/>
                <w:szCs w:val="20"/>
              </w:rPr>
            </w:pPr>
            <w:r>
              <w:rPr>
                <w:rFonts w:cs="Calibri" w:ascii="Arial" w:hAnsi="Arial"/>
                <w:b/>
                <w:color w:val="auto"/>
                <w:sz w:val="24"/>
                <w:szCs w:val="24"/>
              </w:rPr>
              <w:t>II.</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bCs/>
                <w:color w:val="auto"/>
                <w:sz w:val="24"/>
                <w:szCs w:val="24"/>
              </w:rPr>
              <w:t>Dodatkowe informacje i objaśnienia obejmują w szczególności:</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1.1</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Narrow" w:hAnsi="Arial Narrow"/>
                <w:color w:val="000000"/>
                <w:sz w:val="20"/>
                <w:szCs w:val="20"/>
              </w:rPr>
            </w:pPr>
            <w:r>
              <w:rPr>
                <w:rFonts w:ascii="Arial" w:hAnsi="Arial"/>
                <w:color w:val="auto"/>
                <w:sz w:val="24"/>
                <w:szCs w:val="24"/>
              </w:rPr>
              <w:t>szczegółowy</w:t>
            </w:r>
            <w:r>
              <w:rPr>
                <w:rFonts w:ascii="Arial" w:hAnsi="Arial"/>
                <w:color w:val="auto"/>
                <w:spacing w:val="1"/>
                <w:sz w:val="24"/>
                <w:szCs w:val="24"/>
              </w:rPr>
              <w:t xml:space="preserve"> </w:t>
            </w:r>
            <w:r>
              <w:rPr>
                <w:rFonts w:ascii="Arial" w:hAnsi="Arial"/>
                <w:color w:val="auto"/>
                <w:sz w:val="24"/>
                <w:szCs w:val="24"/>
              </w:rPr>
              <w:t>zakres</w:t>
            </w:r>
            <w:r>
              <w:rPr>
                <w:rFonts w:ascii="Arial" w:hAnsi="Arial"/>
                <w:color w:val="auto"/>
                <w:spacing w:val="1"/>
                <w:sz w:val="24"/>
                <w:szCs w:val="24"/>
              </w:rPr>
              <w:t xml:space="preserve"> </w:t>
            </w:r>
            <w:r>
              <w:rPr>
                <w:rFonts w:ascii="Arial" w:hAnsi="Arial"/>
                <w:color w:val="auto"/>
                <w:sz w:val="24"/>
                <w:szCs w:val="24"/>
              </w:rPr>
              <w:t>zmian</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grup</w:t>
            </w:r>
            <w:r>
              <w:rPr>
                <w:rFonts w:ascii="Arial" w:hAnsi="Arial"/>
                <w:color w:val="auto"/>
                <w:spacing w:val="1"/>
                <w:sz w:val="24"/>
                <w:szCs w:val="24"/>
              </w:rPr>
              <w:t xml:space="preserve"> </w:t>
            </w:r>
            <w:r>
              <w:rPr>
                <w:rFonts w:ascii="Arial" w:hAnsi="Arial"/>
                <w:color w:val="auto"/>
                <w:sz w:val="24"/>
                <w:szCs w:val="24"/>
              </w:rPr>
              <w:t>rodzajowych</w:t>
            </w:r>
            <w:r>
              <w:rPr>
                <w:rFonts w:ascii="Arial" w:hAnsi="Arial"/>
                <w:color w:val="auto"/>
                <w:spacing w:val="1"/>
                <w:sz w:val="24"/>
                <w:szCs w:val="24"/>
              </w:rPr>
              <w:t xml:space="preserve"> </w:t>
            </w:r>
            <w:r>
              <w:rPr>
                <w:rFonts w:ascii="Arial" w:hAnsi="Arial"/>
                <w:color w:val="auto"/>
                <w:sz w:val="24"/>
                <w:szCs w:val="24"/>
              </w:rPr>
              <w:t>środków</w:t>
            </w:r>
            <w:r>
              <w:rPr>
                <w:rFonts w:ascii="Arial" w:hAnsi="Arial"/>
                <w:color w:val="auto"/>
                <w:spacing w:val="1"/>
                <w:sz w:val="24"/>
                <w:szCs w:val="24"/>
              </w:rPr>
              <w:t xml:space="preserve"> </w:t>
            </w:r>
            <w:r>
              <w:rPr>
                <w:rFonts w:ascii="Arial" w:hAnsi="Arial"/>
                <w:color w:val="auto"/>
                <w:sz w:val="24"/>
                <w:szCs w:val="24"/>
              </w:rPr>
              <w:t>trwałych,</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niematerialnych i prawnych, zawierający stan tych aktywów na początek roku obrotowego, zwiększenia i zmniejszenia z tytułu: aktualizacji wartości,</w:t>
            </w:r>
            <w:r>
              <w:rPr>
                <w:rFonts w:ascii="Arial" w:hAnsi="Arial"/>
                <w:color w:val="auto"/>
                <w:spacing w:val="-6"/>
                <w:sz w:val="24"/>
                <w:szCs w:val="24"/>
              </w:rPr>
              <w:t xml:space="preserve"> </w:t>
            </w:r>
            <w:r>
              <w:rPr>
                <w:rFonts w:ascii="Arial" w:hAnsi="Arial"/>
                <w:color w:val="auto"/>
                <w:sz w:val="24"/>
                <w:szCs w:val="24"/>
              </w:rPr>
              <w:t>nabycia,</w:t>
            </w:r>
            <w:r>
              <w:rPr>
                <w:rFonts w:ascii="Arial" w:hAnsi="Arial"/>
                <w:color w:val="auto"/>
                <w:spacing w:val="-6"/>
                <w:sz w:val="24"/>
                <w:szCs w:val="24"/>
              </w:rPr>
              <w:t xml:space="preserve"> </w:t>
            </w:r>
            <w:r>
              <w:rPr>
                <w:rFonts w:ascii="Arial" w:hAnsi="Arial"/>
                <w:color w:val="auto"/>
                <w:sz w:val="24"/>
                <w:szCs w:val="24"/>
              </w:rPr>
              <w:t>rozchodu,</w:t>
            </w:r>
            <w:r>
              <w:rPr>
                <w:rFonts w:ascii="Arial" w:hAnsi="Arial"/>
                <w:color w:val="auto"/>
                <w:spacing w:val="-6"/>
                <w:sz w:val="24"/>
                <w:szCs w:val="24"/>
              </w:rPr>
              <w:t xml:space="preserve"> </w:t>
            </w:r>
            <w:r>
              <w:rPr>
                <w:rFonts w:ascii="Arial" w:hAnsi="Arial"/>
                <w:color w:val="auto"/>
                <w:sz w:val="24"/>
                <w:szCs w:val="24"/>
              </w:rPr>
              <w:t>przemieszczenia</w:t>
            </w:r>
            <w:r>
              <w:rPr>
                <w:rFonts w:ascii="Arial" w:hAnsi="Arial"/>
                <w:color w:val="auto"/>
                <w:spacing w:val="-7"/>
                <w:sz w:val="24"/>
                <w:szCs w:val="24"/>
              </w:rPr>
              <w:t xml:space="preserve"> </w:t>
            </w:r>
            <w:r>
              <w:rPr>
                <w:rFonts w:ascii="Arial" w:hAnsi="Arial"/>
                <w:color w:val="auto"/>
                <w:sz w:val="24"/>
                <w:szCs w:val="24"/>
              </w:rPr>
              <w:t>wewnętrznego</w:t>
            </w:r>
            <w:r>
              <w:rPr>
                <w:rFonts w:ascii="Arial" w:hAnsi="Arial"/>
                <w:color w:val="auto"/>
                <w:spacing w:val="-6"/>
                <w:sz w:val="24"/>
                <w:szCs w:val="24"/>
              </w:rPr>
              <w:t xml:space="preserve"> </w:t>
            </w:r>
            <w:r>
              <w:rPr>
                <w:rFonts w:ascii="Arial" w:hAnsi="Arial"/>
                <w:color w:val="auto"/>
                <w:sz w:val="24"/>
                <w:szCs w:val="24"/>
              </w:rPr>
              <w:t>oraz</w:t>
            </w:r>
            <w:r>
              <w:rPr>
                <w:rFonts w:ascii="Arial" w:hAnsi="Arial"/>
                <w:color w:val="auto"/>
                <w:spacing w:val="-6"/>
                <w:sz w:val="24"/>
                <w:szCs w:val="24"/>
              </w:rPr>
              <w:t xml:space="preserve"> </w:t>
            </w:r>
            <w:r>
              <w:rPr>
                <w:rFonts w:ascii="Arial" w:hAnsi="Arial"/>
                <w:color w:val="auto"/>
                <w:sz w:val="24"/>
                <w:szCs w:val="24"/>
              </w:rPr>
              <w:t>stan</w:t>
            </w:r>
            <w:r>
              <w:rPr>
                <w:rFonts w:ascii="Arial" w:hAnsi="Arial"/>
                <w:color w:val="auto"/>
                <w:spacing w:val="-6"/>
                <w:sz w:val="24"/>
                <w:szCs w:val="24"/>
              </w:rPr>
              <w:t xml:space="preserve"> </w:t>
            </w:r>
            <w:r>
              <w:rPr>
                <w:rFonts w:ascii="Arial" w:hAnsi="Arial"/>
                <w:color w:val="auto"/>
                <w:sz w:val="24"/>
                <w:szCs w:val="24"/>
              </w:rPr>
              <w:t>końcowy,</w:t>
            </w:r>
            <w:r>
              <w:rPr>
                <w:rFonts w:ascii="Arial" w:hAnsi="Arial"/>
                <w:color w:val="auto"/>
                <w:spacing w:val="-6"/>
                <w:sz w:val="24"/>
                <w:szCs w:val="24"/>
              </w:rPr>
              <w:t xml:space="preserve"> </w:t>
            </w:r>
            <w:r>
              <w:rPr>
                <w:rFonts w:ascii="Arial" w:hAnsi="Arial"/>
                <w:color w:val="auto"/>
                <w:sz w:val="24"/>
                <w:szCs w:val="24"/>
              </w:rPr>
              <w:t>a</w:t>
            </w:r>
            <w:r>
              <w:rPr>
                <w:rFonts w:ascii="Arial" w:hAnsi="Arial"/>
                <w:color w:val="auto"/>
                <w:spacing w:val="-7"/>
                <w:sz w:val="24"/>
                <w:szCs w:val="24"/>
              </w:rPr>
              <w:t xml:space="preserve"> </w:t>
            </w:r>
            <w:r>
              <w:rPr>
                <w:rFonts w:ascii="Arial" w:hAnsi="Arial"/>
                <w:color w:val="auto"/>
                <w:sz w:val="24"/>
                <w:szCs w:val="24"/>
              </w:rPr>
              <w:t>dla</w:t>
            </w:r>
            <w:r>
              <w:rPr>
                <w:rFonts w:ascii="Arial" w:hAnsi="Arial"/>
                <w:color w:val="auto"/>
                <w:spacing w:val="-6"/>
                <w:sz w:val="24"/>
                <w:szCs w:val="24"/>
              </w:rPr>
              <w:t xml:space="preserve"> </w:t>
            </w:r>
            <w:r>
              <w:rPr>
                <w:rFonts w:ascii="Arial" w:hAnsi="Arial"/>
                <w:color w:val="auto"/>
                <w:sz w:val="24"/>
                <w:szCs w:val="24"/>
              </w:rPr>
              <w:t>majątku</w:t>
            </w:r>
            <w:r>
              <w:rPr>
                <w:rFonts w:ascii="Arial" w:hAnsi="Arial"/>
                <w:color w:val="auto"/>
                <w:spacing w:val="-7"/>
                <w:sz w:val="24"/>
                <w:szCs w:val="24"/>
              </w:rPr>
              <w:t xml:space="preserve"> </w:t>
            </w:r>
            <w:r>
              <w:rPr>
                <w:rFonts w:ascii="Arial" w:hAnsi="Arial"/>
                <w:color w:val="auto"/>
                <w:sz w:val="24"/>
                <w:szCs w:val="24"/>
              </w:rPr>
              <w:t>amortyzowanego</w:t>
            </w:r>
          </w:p>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podobne przedstawienie stanów i tytułów zmian dotychczasowej amortyzacji lub umorzenia</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w:hAnsi="Arial"/>
                <w:b/>
                <w:b/>
                <w:color w:val="auto"/>
                <w:sz w:val="24"/>
                <w:szCs w:val="24"/>
              </w:rPr>
            </w:pPr>
            <w:r>
              <w:rPr>
                <w:rFonts w:ascii="Arial" w:hAnsi="Arial"/>
                <w:b/>
                <w:color w:val="auto"/>
                <w:sz w:val="24"/>
                <w:szCs w:val="24"/>
              </w:rPr>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tbl>
            <w:tblPr>
              <w:tblW w:w="14289" w:type="dxa"/>
              <w:jc w:val="left"/>
              <w:tblInd w:w="0" w:type="dxa"/>
              <w:tblCellMar>
                <w:top w:w="0" w:type="dxa"/>
                <w:left w:w="70" w:type="dxa"/>
                <w:bottom w:w="0" w:type="dxa"/>
                <w:right w:w="70" w:type="dxa"/>
              </w:tblCellMar>
              <w:tblLook w:firstRow="1" w:noVBand="1" w:lastRow="0" w:firstColumn="1" w:lastColumn="0" w:noHBand="0" w:val="04a0"/>
            </w:tblPr>
            <w:tblGrid>
              <w:gridCol w:w="301"/>
              <w:gridCol w:w="942"/>
              <w:gridCol w:w="903"/>
              <w:gridCol w:w="406"/>
              <w:gridCol w:w="754"/>
              <w:gridCol w:w="459"/>
              <w:gridCol w:w="770"/>
              <w:gridCol w:w="487"/>
              <w:gridCol w:w="669"/>
              <w:gridCol w:w="599"/>
              <w:gridCol w:w="2"/>
              <w:gridCol w:w="799"/>
              <w:gridCol w:w="3"/>
              <w:gridCol w:w="926"/>
              <w:gridCol w:w="3"/>
              <w:gridCol w:w="856"/>
              <w:gridCol w:w="3"/>
              <w:gridCol w:w="398"/>
              <w:gridCol w:w="796"/>
              <w:gridCol w:w="363"/>
              <w:gridCol w:w="4"/>
              <w:gridCol w:w="755"/>
              <w:gridCol w:w="4"/>
              <w:gridCol w:w="493"/>
              <w:gridCol w:w="4"/>
              <w:gridCol w:w="828"/>
              <w:gridCol w:w="4"/>
              <w:gridCol w:w="812"/>
              <w:gridCol w:w="942"/>
            </w:tblGrid>
            <w:tr>
              <w:trPr>
                <w:trHeight w:val="330" w:hRule="atLeast"/>
              </w:trPr>
              <w:tc>
                <w:tcPr>
                  <w:tcW w:w="14285" w:type="dxa"/>
                  <w:gridSpan w:val="29"/>
                  <w:tcBorders/>
                  <w:shd w:color="auto" w:fill="auto" w:val="clear"/>
                  <w:vAlign w:val="center"/>
                </w:tcPr>
                <w:p>
                  <w:pPr>
                    <w:pStyle w:val="Normal"/>
                    <w:spacing w:lineRule="auto" w:line="240" w:before="0" w:after="0"/>
                    <w:rPr>
                      <w:rFonts w:ascii="Arial Narrow" w:hAnsi="Arial Narrow" w:eastAsia="Times New Roman" w:cs="Calibri"/>
                      <w:b/>
                      <w:b/>
                      <w:bCs/>
                      <w:color w:val="000000"/>
                      <w:u w:val="single"/>
                      <w:lang w:eastAsia="pl-PL"/>
                    </w:rPr>
                  </w:pPr>
                  <w:r>
                    <w:rPr>
                      <w:rFonts w:eastAsia="Times New Roman" w:cs="Calibri" w:ascii="Arial" w:hAnsi="Arial"/>
                      <w:b/>
                      <w:bCs/>
                      <w:color w:val="auto"/>
                      <w:sz w:val="24"/>
                      <w:szCs w:val="24"/>
                      <w:u w:val="single"/>
                      <w:lang w:eastAsia="pl-PL"/>
                    </w:rPr>
                    <w:t xml:space="preserve">Główne składniki aktywów trwałych - </w:t>
                  </w:r>
                </w:p>
              </w:tc>
            </w:tr>
            <w:tr>
              <w:trPr>
                <w:trHeight w:val="330" w:hRule="atLeast"/>
              </w:trPr>
              <w:tc>
                <w:tcPr>
                  <w:tcW w:w="301"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20"/>
                      <w:szCs w:val="20"/>
                      <w:lang w:eastAsia="pl-PL"/>
                    </w:rPr>
                  </w:pPr>
                  <w:r>
                    <w:rPr>
                      <w:rFonts w:eastAsia="Times New Roman" w:cs="Calibri" w:ascii="Arial" w:hAnsi="Arial"/>
                      <w:b/>
                      <w:bCs/>
                      <w:color w:val="auto"/>
                      <w:sz w:val="24"/>
                      <w:szCs w:val="24"/>
                      <w:lang w:eastAsia="pl-PL"/>
                    </w:rPr>
                    <w:t> </w:t>
                  </w:r>
                </w:p>
              </w:tc>
              <w:tc>
                <w:tcPr>
                  <w:tcW w:w="942"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20"/>
                      <w:szCs w:val="20"/>
                      <w:lang w:eastAsia="pl-PL"/>
                    </w:rPr>
                  </w:pPr>
                  <w:r>
                    <w:rPr>
                      <w:rFonts w:eastAsia="Times New Roman" w:cs="Calibri" w:ascii="Arial" w:hAnsi="Arial"/>
                      <w:b/>
                      <w:bCs/>
                      <w:color w:val="auto"/>
                      <w:sz w:val="24"/>
                      <w:szCs w:val="24"/>
                      <w:lang w:eastAsia="pl-PL"/>
                    </w:rPr>
                    <w:t> </w:t>
                  </w:r>
                </w:p>
              </w:tc>
              <w:tc>
                <w:tcPr>
                  <w:tcW w:w="903"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20"/>
                      <w:szCs w:val="20"/>
                      <w:lang w:eastAsia="pl-PL"/>
                    </w:rPr>
                  </w:pPr>
                  <w:r>
                    <w:rPr>
                      <w:rFonts w:eastAsia="Times New Roman" w:cs="Calibri" w:ascii="Arial" w:hAnsi="Arial"/>
                      <w:b/>
                      <w:bCs/>
                      <w:color w:val="auto"/>
                      <w:sz w:val="24"/>
                      <w:szCs w:val="24"/>
                      <w:lang w:eastAsia="pl-PL"/>
                    </w:rPr>
                    <w:t> </w:t>
                  </w:r>
                </w:p>
              </w:tc>
              <w:tc>
                <w:tcPr>
                  <w:tcW w:w="406"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20"/>
                      <w:szCs w:val="20"/>
                      <w:lang w:eastAsia="pl-PL"/>
                    </w:rPr>
                  </w:pPr>
                  <w:r>
                    <w:rPr>
                      <w:rFonts w:eastAsia="Times New Roman" w:cs="Calibri" w:ascii="Arial" w:hAnsi="Arial"/>
                      <w:b/>
                      <w:bCs/>
                      <w:color w:val="auto"/>
                      <w:sz w:val="24"/>
                      <w:szCs w:val="24"/>
                      <w:lang w:eastAsia="pl-PL"/>
                    </w:rPr>
                    <w:t> </w:t>
                  </w:r>
                </w:p>
              </w:tc>
              <w:tc>
                <w:tcPr>
                  <w:tcW w:w="754"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459"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770"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487"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669"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599"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801"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929"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859"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401"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796"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363"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759"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497"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832"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816"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942"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r>
            <w:tr>
              <w:trPr>
                <w:trHeight w:val="510" w:hRule="atLeast"/>
              </w:trPr>
              <w:tc>
                <w:tcPr>
                  <w:tcW w:w="301"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Lp.</w:t>
                  </w:r>
                </w:p>
              </w:tc>
              <w:tc>
                <w:tcPr>
                  <w:tcW w:w="942"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Nazwa grupy rodzajowej składnika aktywów trwałych</w:t>
                  </w:r>
                </w:p>
              </w:tc>
              <w:tc>
                <w:tcPr>
                  <w:tcW w:w="903"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Wartość poczatkowa - stan na poczatek roku obrotowego</w:t>
                  </w:r>
                </w:p>
              </w:tc>
              <w:tc>
                <w:tcPr>
                  <w:tcW w:w="1619" w:type="dxa"/>
                  <w:gridSpan w:val="3"/>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Zwiększenie wartości poczatkowej</w:t>
                  </w:r>
                </w:p>
              </w:tc>
              <w:tc>
                <w:tcPr>
                  <w:tcW w:w="770"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Ogółem zwiększenie wartości początkowej (4+5+6)</w:t>
                  </w:r>
                </w:p>
              </w:tc>
              <w:tc>
                <w:tcPr>
                  <w:tcW w:w="1757"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Zmniejszenie wartości początkowej</w:t>
                  </w:r>
                </w:p>
              </w:tc>
              <w:tc>
                <w:tcPr>
                  <w:tcW w:w="802"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Ogółem zmniejszenie wartości poczatkowej                                                                                                                              (8+9+10)</w:t>
                  </w:r>
                </w:p>
              </w:tc>
              <w:tc>
                <w:tcPr>
                  <w:tcW w:w="929"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Wartość poczatkowa - stan na koniec roku obrotowego                                                                                                                                           (3+7-11)</w:t>
                  </w:r>
                </w:p>
              </w:tc>
              <w:tc>
                <w:tcPr>
                  <w:tcW w:w="859" w:type="dxa"/>
                  <w:gridSpan w:val="2"/>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Umorzenie - stan na początek roku obrotowego</w:t>
                  </w:r>
                </w:p>
              </w:tc>
              <w:tc>
                <w:tcPr>
                  <w:tcW w:w="1561"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Zwiększenia w ciągu roku obrotowego</w:t>
                  </w:r>
                </w:p>
              </w:tc>
              <w:tc>
                <w:tcPr>
                  <w:tcW w:w="759"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Ogółem zwiększenie umorzenia (14+15+16)</w:t>
                  </w:r>
                </w:p>
              </w:tc>
              <w:tc>
                <w:tcPr>
                  <w:tcW w:w="497" w:type="dxa"/>
                  <w:gridSpan w:val="2"/>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Zmniejszenie umorzenia</w:t>
                  </w:r>
                </w:p>
              </w:tc>
              <w:tc>
                <w:tcPr>
                  <w:tcW w:w="832"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Umorzenie - stan na koniec roku obrotowego                                                                                                 (13+17-18)</w:t>
                  </w:r>
                </w:p>
              </w:tc>
              <w:tc>
                <w:tcPr>
                  <w:tcW w:w="1754"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Wartość netto składników aktywów</w:t>
                  </w:r>
                </w:p>
              </w:tc>
            </w:tr>
            <w:tr>
              <w:trPr>
                <w:trHeight w:val="1695" w:hRule="atLeast"/>
              </w:trPr>
              <w:tc>
                <w:tcPr>
                  <w:tcW w:w="301"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42"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03"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06"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Aktualizacja</w:t>
                  </w:r>
                </w:p>
              </w:tc>
              <w:tc>
                <w:tcPr>
                  <w:tcW w:w="754"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Przychody</w:t>
                  </w:r>
                </w:p>
              </w:tc>
              <w:tc>
                <w:tcPr>
                  <w:tcW w:w="459"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Przemieszczenie</w:t>
                  </w:r>
                </w:p>
              </w:tc>
              <w:tc>
                <w:tcPr>
                  <w:tcW w:w="770"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87" w:type="dxa"/>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Zbycie</w:t>
                  </w:r>
                </w:p>
              </w:tc>
              <w:tc>
                <w:tcPr>
                  <w:tcW w:w="66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Likwidacja</w:t>
                  </w:r>
                </w:p>
              </w:tc>
              <w:tc>
                <w:tcPr>
                  <w:tcW w:w="599" w:type="dxa"/>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Inne</w:t>
                  </w:r>
                </w:p>
              </w:tc>
              <w:tc>
                <w:tcPr>
                  <w:tcW w:w="801"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29"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59"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01" w:type="dxa"/>
                  <w:gridSpan w:val="2"/>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Aktualizacja</w:t>
                  </w:r>
                </w:p>
              </w:tc>
              <w:tc>
                <w:tcPr>
                  <w:tcW w:w="796"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Amortyzacja za rok obrotowy</w:t>
                  </w:r>
                </w:p>
              </w:tc>
              <w:tc>
                <w:tcPr>
                  <w:tcW w:w="363"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Inne</w:t>
                  </w:r>
                </w:p>
              </w:tc>
              <w:tc>
                <w:tcPr>
                  <w:tcW w:w="759"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97"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32"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1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Stan na poczatek roku obrotowego                                                                                                                                                                           (3-13)</w:t>
                  </w:r>
                </w:p>
              </w:tc>
              <w:tc>
                <w:tcPr>
                  <w:tcW w:w="94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Stan na koniec roku obrotowego                                                                                                                                                                          (12-19)</w:t>
                  </w:r>
                </w:p>
              </w:tc>
            </w:tr>
            <w:tr>
              <w:trPr>
                <w:trHeight w:val="199" w:hRule="atLeast"/>
              </w:trPr>
              <w:tc>
                <w:tcPr>
                  <w:tcW w:w="30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w:t>
                  </w:r>
                </w:p>
              </w:tc>
              <w:tc>
                <w:tcPr>
                  <w:tcW w:w="94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2</w:t>
                  </w:r>
                </w:p>
              </w:tc>
              <w:tc>
                <w:tcPr>
                  <w:tcW w:w="90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3</w:t>
                  </w:r>
                </w:p>
              </w:tc>
              <w:tc>
                <w:tcPr>
                  <w:tcW w:w="40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4</w:t>
                  </w:r>
                </w:p>
              </w:tc>
              <w:tc>
                <w:tcPr>
                  <w:tcW w:w="75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5</w:t>
                  </w:r>
                </w:p>
              </w:tc>
              <w:tc>
                <w:tcPr>
                  <w:tcW w:w="459"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6</w:t>
                  </w:r>
                </w:p>
              </w:tc>
              <w:tc>
                <w:tcPr>
                  <w:tcW w:w="77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7</w:t>
                  </w:r>
                </w:p>
              </w:tc>
              <w:tc>
                <w:tcPr>
                  <w:tcW w:w="487"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8</w:t>
                  </w:r>
                </w:p>
              </w:tc>
              <w:tc>
                <w:tcPr>
                  <w:tcW w:w="66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9</w:t>
                  </w:r>
                </w:p>
              </w:tc>
              <w:tc>
                <w:tcPr>
                  <w:tcW w:w="599"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10</w:t>
                  </w:r>
                </w:p>
              </w:tc>
              <w:tc>
                <w:tcPr>
                  <w:tcW w:w="8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11</w:t>
                  </w:r>
                </w:p>
              </w:tc>
              <w:tc>
                <w:tcPr>
                  <w:tcW w:w="9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12</w:t>
                  </w:r>
                </w:p>
              </w:tc>
              <w:tc>
                <w:tcPr>
                  <w:tcW w:w="8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13</w:t>
                  </w:r>
                </w:p>
              </w:tc>
              <w:tc>
                <w:tcPr>
                  <w:tcW w:w="401"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14</w:t>
                  </w:r>
                </w:p>
              </w:tc>
              <w:tc>
                <w:tcPr>
                  <w:tcW w:w="79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15</w:t>
                  </w:r>
                </w:p>
              </w:tc>
              <w:tc>
                <w:tcPr>
                  <w:tcW w:w="36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16</w:t>
                  </w:r>
                </w:p>
              </w:tc>
              <w:tc>
                <w:tcPr>
                  <w:tcW w:w="7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17</w:t>
                  </w:r>
                </w:p>
              </w:tc>
              <w:tc>
                <w:tcPr>
                  <w:tcW w:w="49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18</w:t>
                  </w:r>
                </w:p>
              </w:tc>
              <w:tc>
                <w:tcPr>
                  <w:tcW w:w="83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19</w:t>
                  </w:r>
                </w:p>
              </w:tc>
              <w:tc>
                <w:tcPr>
                  <w:tcW w:w="81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20</w:t>
                  </w:r>
                </w:p>
              </w:tc>
              <w:tc>
                <w:tcPr>
                  <w:tcW w:w="94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21</w:t>
                  </w:r>
                </w:p>
              </w:tc>
            </w:tr>
            <w:tr>
              <w:trPr>
                <w:trHeight w:val="810" w:hRule="atLeast"/>
              </w:trPr>
              <w:tc>
                <w:tcPr>
                  <w:tcW w:w="30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8"/>
                      <w:szCs w:val="18"/>
                      <w:lang w:eastAsia="pl-PL"/>
                    </w:rPr>
                  </w:pPr>
                  <w:r>
                    <w:rPr>
                      <w:rFonts w:eastAsia="Times New Roman" w:cs="Calibri" w:ascii="Arial" w:hAnsi="Arial"/>
                      <w:b/>
                      <w:bCs/>
                      <w:color w:val="auto"/>
                      <w:sz w:val="24"/>
                      <w:szCs w:val="24"/>
                      <w:lang w:eastAsia="pl-PL"/>
                    </w:rPr>
                    <w:t>1.</w:t>
                  </w:r>
                </w:p>
              </w:tc>
              <w:tc>
                <w:tcPr>
                  <w:tcW w:w="94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Wartości niematerialne                          i prawne</w:t>
                  </w:r>
                </w:p>
              </w:tc>
              <w:tc>
                <w:tcPr>
                  <w:tcW w:w="90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124 355,12</w:t>
                  </w:r>
                </w:p>
              </w:tc>
              <w:tc>
                <w:tcPr>
                  <w:tcW w:w="4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45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7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48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6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59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8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9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124 355,12</w:t>
                  </w:r>
                </w:p>
              </w:tc>
              <w:tc>
                <w:tcPr>
                  <w:tcW w:w="8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124 355,12</w:t>
                  </w:r>
                </w:p>
              </w:tc>
              <w:tc>
                <w:tcPr>
                  <w:tcW w:w="4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9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49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83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124 355,12</w:t>
                  </w:r>
                </w:p>
              </w:tc>
              <w:tc>
                <w:tcPr>
                  <w:tcW w:w="81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94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r>
            <w:tr>
              <w:trPr>
                <w:trHeight w:val="540" w:hRule="atLeast"/>
              </w:trPr>
              <w:tc>
                <w:tcPr>
                  <w:tcW w:w="30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8"/>
                      <w:szCs w:val="18"/>
                      <w:lang w:eastAsia="pl-PL"/>
                    </w:rPr>
                  </w:pPr>
                  <w:r>
                    <w:rPr>
                      <w:rFonts w:eastAsia="Times New Roman" w:cs="Calibri" w:ascii="Arial" w:hAnsi="Arial"/>
                      <w:b/>
                      <w:bCs/>
                      <w:color w:val="auto"/>
                      <w:sz w:val="24"/>
                      <w:szCs w:val="24"/>
                      <w:lang w:eastAsia="pl-PL"/>
                    </w:rPr>
                    <w:t>2.</w:t>
                  </w:r>
                </w:p>
              </w:tc>
              <w:tc>
                <w:tcPr>
                  <w:tcW w:w="94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Środki trwałe</w:t>
                  </w:r>
                </w:p>
              </w:tc>
              <w:tc>
                <w:tcPr>
                  <w:tcW w:w="90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11 624 988,58</w:t>
                  </w:r>
                </w:p>
              </w:tc>
              <w:tc>
                <w:tcPr>
                  <w:tcW w:w="4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204 672,00</w:t>
                  </w:r>
                </w:p>
              </w:tc>
              <w:tc>
                <w:tcPr>
                  <w:tcW w:w="45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7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204 672,00</w:t>
                  </w:r>
                </w:p>
              </w:tc>
              <w:tc>
                <w:tcPr>
                  <w:tcW w:w="48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6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59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8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9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11 829 660,58</w:t>
                  </w:r>
                </w:p>
              </w:tc>
              <w:tc>
                <w:tcPr>
                  <w:tcW w:w="8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4 748 015,04</w:t>
                  </w:r>
                </w:p>
              </w:tc>
              <w:tc>
                <w:tcPr>
                  <w:tcW w:w="4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9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495 803,59</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495 803,59</w:t>
                  </w:r>
                </w:p>
              </w:tc>
              <w:tc>
                <w:tcPr>
                  <w:tcW w:w="49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83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5 243 818,63</w:t>
                  </w:r>
                </w:p>
              </w:tc>
              <w:tc>
                <w:tcPr>
                  <w:tcW w:w="81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6 876 973,54</w:t>
                  </w:r>
                </w:p>
              </w:tc>
              <w:tc>
                <w:tcPr>
                  <w:tcW w:w="94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6 585 841,95</w:t>
                  </w:r>
                </w:p>
              </w:tc>
            </w:tr>
            <w:tr>
              <w:trPr>
                <w:trHeight w:val="405" w:hRule="atLeast"/>
              </w:trPr>
              <w:tc>
                <w:tcPr>
                  <w:tcW w:w="30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w:t>
                  </w:r>
                </w:p>
              </w:tc>
              <w:tc>
                <w:tcPr>
                  <w:tcW w:w="94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grunty</w:t>
                  </w:r>
                </w:p>
              </w:tc>
              <w:tc>
                <w:tcPr>
                  <w:tcW w:w="90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752 671,20</w:t>
                  </w:r>
                </w:p>
              </w:tc>
              <w:tc>
                <w:tcPr>
                  <w:tcW w:w="4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45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7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48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6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59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8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9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752 671,20</w:t>
                  </w:r>
                </w:p>
              </w:tc>
              <w:tc>
                <w:tcPr>
                  <w:tcW w:w="8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 </w:t>
                  </w:r>
                </w:p>
              </w:tc>
              <w:tc>
                <w:tcPr>
                  <w:tcW w:w="4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 </w:t>
                  </w:r>
                </w:p>
              </w:tc>
              <w:tc>
                <w:tcPr>
                  <w:tcW w:w="79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 </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 </w:t>
                  </w:r>
                </w:p>
              </w:tc>
              <w:tc>
                <w:tcPr>
                  <w:tcW w:w="7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49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 </w:t>
                  </w:r>
                </w:p>
              </w:tc>
              <w:tc>
                <w:tcPr>
                  <w:tcW w:w="83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81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752 671,20</w:t>
                  </w:r>
                </w:p>
              </w:tc>
              <w:tc>
                <w:tcPr>
                  <w:tcW w:w="94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752 671,20</w:t>
                  </w:r>
                </w:p>
              </w:tc>
            </w:tr>
            <w:tr>
              <w:trPr>
                <w:trHeight w:val="765" w:hRule="atLeast"/>
              </w:trPr>
              <w:tc>
                <w:tcPr>
                  <w:tcW w:w="30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2)</w:t>
                  </w:r>
                </w:p>
              </w:tc>
              <w:tc>
                <w:tcPr>
                  <w:tcW w:w="94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budynki, lokale i obiekty inżynierii lądowej i wodnej</w:t>
                  </w:r>
                </w:p>
              </w:tc>
              <w:tc>
                <w:tcPr>
                  <w:tcW w:w="90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7 717 343,28</w:t>
                  </w:r>
                </w:p>
              </w:tc>
              <w:tc>
                <w:tcPr>
                  <w:tcW w:w="4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45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7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48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6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59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8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9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7 717 343,28</w:t>
                  </w:r>
                </w:p>
              </w:tc>
              <w:tc>
                <w:tcPr>
                  <w:tcW w:w="8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2 283 406,93</w:t>
                  </w:r>
                </w:p>
              </w:tc>
              <w:tc>
                <w:tcPr>
                  <w:tcW w:w="4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9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190 945,61</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190 945,61</w:t>
                  </w:r>
                </w:p>
              </w:tc>
              <w:tc>
                <w:tcPr>
                  <w:tcW w:w="49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83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2 474 352,54</w:t>
                  </w:r>
                </w:p>
              </w:tc>
              <w:tc>
                <w:tcPr>
                  <w:tcW w:w="81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5 433 936,35</w:t>
                  </w:r>
                </w:p>
              </w:tc>
              <w:tc>
                <w:tcPr>
                  <w:tcW w:w="94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5 242 990,74</w:t>
                  </w:r>
                </w:p>
              </w:tc>
            </w:tr>
            <w:tr>
              <w:trPr>
                <w:trHeight w:val="765" w:hRule="atLeast"/>
              </w:trPr>
              <w:tc>
                <w:tcPr>
                  <w:tcW w:w="30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3)</w:t>
                  </w:r>
                </w:p>
              </w:tc>
              <w:tc>
                <w:tcPr>
                  <w:tcW w:w="94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urządzenia techniczne i maszyny</w:t>
                  </w:r>
                </w:p>
              </w:tc>
              <w:tc>
                <w:tcPr>
                  <w:tcW w:w="90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2 845 438,84</w:t>
                  </w:r>
                </w:p>
              </w:tc>
              <w:tc>
                <w:tcPr>
                  <w:tcW w:w="4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204 672,00</w:t>
                  </w:r>
                </w:p>
              </w:tc>
              <w:tc>
                <w:tcPr>
                  <w:tcW w:w="45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7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204 672,00</w:t>
                  </w:r>
                </w:p>
              </w:tc>
              <w:tc>
                <w:tcPr>
                  <w:tcW w:w="48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6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59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8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9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3 050 110,84</w:t>
                  </w:r>
                </w:p>
              </w:tc>
              <w:tc>
                <w:tcPr>
                  <w:tcW w:w="8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2 174 665,42</w:t>
                  </w:r>
                </w:p>
              </w:tc>
              <w:tc>
                <w:tcPr>
                  <w:tcW w:w="4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9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295 714,75</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295 714,75</w:t>
                  </w:r>
                </w:p>
              </w:tc>
              <w:tc>
                <w:tcPr>
                  <w:tcW w:w="49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83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2 470 380,17</w:t>
                  </w:r>
                </w:p>
              </w:tc>
              <w:tc>
                <w:tcPr>
                  <w:tcW w:w="81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670 773,42</w:t>
                  </w:r>
                </w:p>
              </w:tc>
              <w:tc>
                <w:tcPr>
                  <w:tcW w:w="94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579 730,67</w:t>
                  </w:r>
                </w:p>
              </w:tc>
            </w:tr>
            <w:tr>
              <w:trPr>
                <w:trHeight w:val="330" w:hRule="atLeast"/>
              </w:trPr>
              <w:tc>
                <w:tcPr>
                  <w:tcW w:w="30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4)</w:t>
                  </w:r>
                </w:p>
              </w:tc>
              <w:tc>
                <w:tcPr>
                  <w:tcW w:w="94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środki transportu</w:t>
                  </w:r>
                </w:p>
              </w:tc>
              <w:tc>
                <w:tcPr>
                  <w:tcW w:w="90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65 308,36</w:t>
                  </w:r>
                </w:p>
              </w:tc>
              <w:tc>
                <w:tcPr>
                  <w:tcW w:w="4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45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7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48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6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59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8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9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65 308,36</w:t>
                  </w:r>
                </w:p>
              </w:tc>
              <w:tc>
                <w:tcPr>
                  <w:tcW w:w="8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45 715,85</w:t>
                  </w:r>
                </w:p>
              </w:tc>
              <w:tc>
                <w:tcPr>
                  <w:tcW w:w="4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9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9 143,17</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9 143,17</w:t>
                  </w:r>
                </w:p>
              </w:tc>
              <w:tc>
                <w:tcPr>
                  <w:tcW w:w="49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83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54 859,02</w:t>
                  </w:r>
                </w:p>
              </w:tc>
              <w:tc>
                <w:tcPr>
                  <w:tcW w:w="81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19 592,51</w:t>
                  </w:r>
                </w:p>
              </w:tc>
              <w:tc>
                <w:tcPr>
                  <w:tcW w:w="94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10 449,34</w:t>
                  </w:r>
                </w:p>
              </w:tc>
            </w:tr>
            <w:tr>
              <w:trPr>
                <w:trHeight w:val="510" w:hRule="atLeast"/>
              </w:trPr>
              <w:tc>
                <w:tcPr>
                  <w:tcW w:w="30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5)</w:t>
                  </w:r>
                </w:p>
              </w:tc>
              <w:tc>
                <w:tcPr>
                  <w:tcW w:w="94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inne środki trwałe</w:t>
                  </w:r>
                </w:p>
              </w:tc>
              <w:tc>
                <w:tcPr>
                  <w:tcW w:w="90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244 226,90</w:t>
                  </w:r>
                </w:p>
              </w:tc>
              <w:tc>
                <w:tcPr>
                  <w:tcW w:w="4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45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7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48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6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59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8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9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244 226,90</w:t>
                  </w:r>
                </w:p>
              </w:tc>
              <w:tc>
                <w:tcPr>
                  <w:tcW w:w="8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244 226,84</w:t>
                  </w:r>
                </w:p>
              </w:tc>
              <w:tc>
                <w:tcPr>
                  <w:tcW w:w="4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9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0,06</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7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0,06</w:t>
                  </w:r>
                </w:p>
              </w:tc>
              <w:tc>
                <w:tcPr>
                  <w:tcW w:w="49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c>
                <w:tcPr>
                  <w:tcW w:w="83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244 226,90</w:t>
                  </w:r>
                </w:p>
              </w:tc>
              <w:tc>
                <w:tcPr>
                  <w:tcW w:w="81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0,06</w:t>
                  </w:r>
                </w:p>
              </w:tc>
              <w:tc>
                <w:tcPr>
                  <w:tcW w:w="94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0,00</w:t>
                  </w:r>
                </w:p>
              </w:tc>
            </w:tr>
            <w:tr>
              <w:trPr>
                <w:trHeight w:val="330" w:hRule="atLeast"/>
              </w:trPr>
              <w:tc>
                <w:tcPr>
                  <w:tcW w:w="30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i/>
                      <w:i/>
                      <w:iCs/>
                      <w:color w:val="000000"/>
                      <w:sz w:val="18"/>
                      <w:szCs w:val="18"/>
                      <w:lang w:eastAsia="pl-PL"/>
                    </w:rPr>
                  </w:pPr>
                  <w:r>
                    <w:rPr>
                      <w:rFonts w:eastAsia="Times New Roman" w:cs="Calibri" w:ascii="Arial" w:hAnsi="Arial"/>
                      <w:b/>
                      <w:bCs/>
                      <w:i/>
                      <w:iCs/>
                      <w:color w:val="auto"/>
                      <w:sz w:val="24"/>
                      <w:szCs w:val="24"/>
                      <w:lang w:eastAsia="pl-PL"/>
                    </w:rPr>
                    <w:t> </w:t>
                  </w:r>
                </w:p>
              </w:tc>
              <w:tc>
                <w:tcPr>
                  <w:tcW w:w="942"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Calibri"/>
                      <w:color w:val="000000"/>
                      <w:sz w:val="18"/>
                      <w:szCs w:val="18"/>
                      <w:lang w:eastAsia="pl-PL"/>
                    </w:rPr>
                  </w:pPr>
                  <w:r>
                    <w:rPr>
                      <w:rFonts w:eastAsia="Times New Roman" w:cs="Calibri" w:ascii="Arial" w:hAnsi="Arial"/>
                      <w:color w:val="auto"/>
                      <w:sz w:val="24"/>
                      <w:szCs w:val="24"/>
                      <w:lang w:eastAsia="pl-PL"/>
                    </w:rPr>
                    <w:t> </w:t>
                  </w:r>
                </w:p>
              </w:tc>
              <w:tc>
                <w:tcPr>
                  <w:tcW w:w="90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11 749 343,70</w:t>
                  </w:r>
                </w:p>
              </w:tc>
              <w:tc>
                <w:tcPr>
                  <w:tcW w:w="4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204 672,00</w:t>
                  </w:r>
                </w:p>
              </w:tc>
              <w:tc>
                <w:tcPr>
                  <w:tcW w:w="45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7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204 672,00</w:t>
                  </w:r>
                </w:p>
              </w:tc>
              <w:tc>
                <w:tcPr>
                  <w:tcW w:w="48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6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59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8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92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11 954 015,70</w:t>
                  </w:r>
                </w:p>
              </w:tc>
              <w:tc>
                <w:tcPr>
                  <w:tcW w:w="8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4 872 370,16</w:t>
                  </w:r>
                </w:p>
              </w:tc>
              <w:tc>
                <w:tcPr>
                  <w:tcW w:w="40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9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495 803,59</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7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495 803,59</w:t>
                  </w:r>
                </w:p>
              </w:tc>
              <w:tc>
                <w:tcPr>
                  <w:tcW w:w="49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0,00</w:t>
                  </w:r>
                </w:p>
              </w:tc>
              <w:tc>
                <w:tcPr>
                  <w:tcW w:w="83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5 368 173,75</w:t>
                  </w:r>
                </w:p>
              </w:tc>
              <w:tc>
                <w:tcPr>
                  <w:tcW w:w="81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6 876 973,54</w:t>
                  </w:r>
                </w:p>
              </w:tc>
              <w:tc>
                <w:tcPr>
                  <w:tcW w:w="94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6 585 841,95</w:t>
                  </w:r>
                </w:p>
              </w:tc>
            </w:tr>
          </w:tbl>
          <w:p>
            <w:pPr>
              <w:pStyle w:val="Normal"/>
              <w:widowControl w:val="false"/>
              <w:spacing w:lineRule="auto" w:line="249" w:before="47" w:after="0"/>
              <w:ind w:right="40" w:hanging="0"/>
              <w:jc w:val="both"/>
              <w:rPr>
                <w:rFonts w:ascii="Arial" w:hAnsi="Arial"/>
                <w:b/>
                <w:b/>
                <w:color w:val="auto"/>
                <w:sz w:val="24"/>
                <w:szCs w:val="24"/>
              </w:rPr>
            </w:pPr>
            <w:r>
              <w:rPr>
                <w:rFonts w:ascii="Arial" w:hAnsi="Arial"/>
                <w:b/>
                <w:color w:val="auto"/>
                <w:sz w:val="24"/>
                <w:szCs w:val="24"/>
              </w:rPr>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1.2</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0"/>
                <w:szCs w:val="20"/>
              </w:rPr>
            </w:pPr>
            <w:r>
              <w:rPr>
                <w:rFonts w:ascii="Arial" w:hAnsi="Arial"/>
                <w:b/>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1.3</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1.4</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 gruntów użytkowanych wieczyście</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1.5</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1.6.</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1.7.</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rHeight w:val="2487" w:hRule="atLeast"/>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tbl>
            <w:tblPr>
              <w:tblW w:w="10316" w:type="dxa"/>
              <w:jc w:val="left"/>
              <w:tblInd w:w="0" w:type="dxa"/>
              <w:tblCellMar>
                <w:top w:w="0" w:type="dxa"/>
                <w:left w:w="30" w:type="dxa"/>
                <w:bottom w:w="0" w:type="dxa"/>
                <w:right w:w="30" w:type="dxa"/>
              </w:tblCellMar>
              <w:tblLook w:firstRow="0" w:noVBand="0" w:lastRow="0" w:firstColumn="0" w:lastColumn="0" w:noHBand="0" w:val="0000"/>
            </w:tblPr>
            <w:tblGrid>
              <w:gridCol w:w="659"/>
              <w:gridCol w:w="1482"/>
              <w:gridCol w:w="1548"/>
              <w:gridCol w:w="1482"/>
              <w:gridCol w:w="2"/>
              <w:gridCol w:w="1659"/>
              <w:gridCol w:w="2"/>
              <w:gridCol w:w="1529"/>
              <w:gridCol w:w="1"/>
              <w:gridCol w:w="1"/>
              <w:gridCol w:w="1950"/>
            </w:tblGrid>
            <w:tr>
              <w:trPr>
                <w:trHeight w:val="290" w:hRule="atLeast"/>
              </w:trPr>
              <w:tc>
                <w:tcPr>
                  <w:tcW w:w="5173" w:type="dxa"/>
                  <w:gridSpan w:val="5"/>
                  <w:tcBorders/>
                  <w:shd w:fill="auto" w:val="clear"/>
                </w:tcPr>
                <w:p>
                  <w:pPr>
                    <w:pStyle w:val="Normal"/>
                    <w:spacing w:lineRule="auto" w:line="240" w:before="0" w:after="0"/>
                    <w:rPr>
                      <w:rFonts w:cs="Calibri"/>
                      <w:b/>
                      <w:b/>
                      <w:bCs/>
                      <w:color w:val="000000"/>
                      <w:lang w:eastAsia="pl-PL"/>
                    </w:rPr>
                  </w:pPr>
                  <w:r>
                    <w:rPr>
                      <w:rFonts w:cs="Calibri" w:ascii="Arial" w:hAnsi="Arial"/>
                      <w:b/>
                      <w:bCs/>
                      <w:color w:val="auto"/>
                      <w:sz w:val="24"/>
                      <w:szCs w:val="24"/>
                      <w:lang w:eastAsia="pl-PL"/>
                    </w:rPr>
                    <w:t>Stan odpisów aktualizujących wartość należności</w:t>
                  </w:r>
                </w:p>
              </w:tc>
              <w:tc>
                <w:tcPr>
                  <w:tcW w:w="1661" w:type="dxa"/>
                  <w:gridSpan w:val="2"/>
                  <w:tcBorders/>
                  <w:shd w:fill="auto" w:val="clear"/>
                </w:tcPr>
                <w:p>
                  <w:pPr>
                    <w:pStyle w:val="Normal"/>
                    <w:spacing w:lineRule="auto" w:line="240" w:before="0" w:after="0"/>
                    <w:jc w:val="right"/>
                    <w:rPr>
                      <w:rFonts w:ascii="Arial" w:hAnsi="Arial" w:cs="Calibri"/>
                      <w:color w:val="auto"/>
                      <w:sz w:val="24"/>
                      <w:szCs w:val="24"/>
                      <w:lang w:eastAsia="pl-PL"/>
                    </w:rPr>
                  </w:pPr>
                  <w:r>
                    <w:rPr>
                      <w:rFonts w:cs="Calibri" w:ascii="Arial" w:hAnsi="Arial"/>
                      <w:color w:val="auto"/>
                      <w:sz w:val="24"/>
                      <w:szCs w:val="24"/>
                      <w:lang w:eastAsia="pl-PL"/>
                    </w:rPr>
                  </w:r>
                </w:p>
              </w:tc>
              <w:tc>
                <w:tcPr>
                  <w:tcW w:w="1531" w:type="dxa"/>
                  <w:gridSpan w:val="3"/>
                  <w:tcBorders/>
                  <w:shd w:fill="auto" w:val="clear"/>
                </w:tcPr>
                <w:p>
                  <w:pPr>
                    <w:pStyle w:val="Normal"/>
                    <w:spacing w:lineRule="auto" w:line="240" w:before="0" w:after="0"/>
                    <w:jc w:val="right"/>
                    <w:rPr>
                      <w:rFonts w:ascii="Arial" w:hAnsi="Arial" w:cs="Calibri"/>
                      <w:color w:val="auto"/>
                      <w:sz w:val="24"/>
                      <w:szCs w:val="24"/>
                      <w:lang w:eastAsia="pl-PL"/>
                    </w:rPr>
                  </w:pPr>
                  <w:r>
                    <w:rPr>
                      <w:rFonts w:cs="Calibri" w:ascii="Arial" w:hAnsi="Arial"/>
                      <w:color w:val="auto"/>
                      <w:sz w:val="24"/>
                      <w:szCs w:val="24"/>
                      <w:lang w:eastAsia="pl-PL"/>
                    </w:rPr>
                  </w:r>
                </w:p>
              </w:tc>
              <w:tc>
                <w:tcPr>
                  <w:tcW w:w="1950" w:type="dxa"/>
                  <w:tcBorders/>
                  <w:shd w:fill="auto" w:val="clear"/>
                </w:tcPr>
                <w:p>
                  <w:pPr>
                    <w:pStyle w:val="Normal"/>
                    <w:spacing w:lineRule="auto" w:line="240" w:before="0" w:after="0"/>
                    <w:jc w:val="right"/>
                    <w:rPr>
                      <w:rFonts w:ascii="Arial" w:hAnsi="Arial" w:cs="Calibri"/>
                      <w:color w:val="auto"/>
                      <w:sz w:val="24"/>
                      <w:szCs w:val="24"/>
                      <w:lang w:eastAsia="pl-PL"/>
                    </w:rPr>
                  </w:pPr>
                  <w:r>
                    <w:rPr>
                      <w:rFonts w:cs="Calibri" w:ascii="Arial" w:hAnsi="Arial"/>
                      <w:color w:val="auto"/>
                      <w:sz w:val="24"/>
                      <w:szCs w:val="24"/>
                      <w:lang w:eastAsia="pl-PL"/>
                    </w:rPr>
                  </w:r>
                </w:p>
              </w:tc>
            </w:tr>
            <w:tr>
              <w:trPr>
                <w:trHeight w:val="216" w:hRule="atLeast"/>
              </w:trPr>
              <w:tc>
                <w:tcPr>
                  <w:tcW w:w="659" w:type="dxa"/>
                  <w:tcBorders/>
                  <w:shd w:fill="auto" w:val="clear"/>
                </w:tcPr>
                <w:p>
                  <w:pPr>
                    <w:pStyle w:val="Normal"/>
                    <w:spacing w:lineRule="auto" w:line="240" w:before="0" w:after="0"/>
                    <w:jc w:val="right"/>
                    <w:rPr>
                      <w:rFonts w:ascii="Arial" w:hAnsi="Arial" w:cs="Calibri"/>
                      <w:color w:val="auto"/>
                      <w:sz w:val="24"/>
                      <w:szCs w:val="24"/>
                      <w:lang w:eastAsia="pl-PL"/>
                    </w:rPr>
                  </w:pPr>
                  <w:r>
                    <w:rPr>
                      <w:rFonts w:cs="Calibri" w:ascii="Arial" w:hAnsi="Arial"/>
                      <w:color w:val="auto"/>
                      <w:sz w:val="24"/>
                      <w:szCs w:val="24"/>
                      <w:lang w:eastAsia="pl-PL"/>
                    </w:rPr>
                  </w:r>
                </w:p>
              </w:tc>
              <w:tc>
                <w:tcPr>
                  <w:tcW w:w="1482" w:type="dxa"/>
                  <w:tcBorders/>
                  <w:shd w:fill="auto" w:val="clear"/>
                </w:tcPr>
                <w:p>
                  <w:pPr>
                    <w:pStyle w:val="Normal"/>
                    <w:spacing w:lineRule="auto" w:line="240" w:before="0" w:after="0"/>
                    <w:jc w:val="right"/>
                    <w:rPr>
                      <w:rFonts w:ascii="Arial" w:hAnsi="Arial" w:cs="Calibri"/>
                      <w:color w:val="auto"/>
                      <w:sz w:val="24"/>
                      <w:szCs w:val="24"/>
                      <w:lang w:eastAsia="pl-PL"/>
                    </w:rPr>
                  </w:pPr>
                  <w:r>
                    <w:rPr>
                      <w:rFonts w:cs="Calibri" w:ascii="Arial" w:hAnsi="Arial"/>
                      <w:color w:val="auto"/>
                      <w:sz w:val="24"/>
                      <w:szCs w:val="24"/>
                      <w:lang w:eastAsia="pl-PL"/>
                    </w:rPr>
                  </w:r>
                </w:p>
              </w:tc>
              <w:tc>
                <w:tcPr>
                  <w:tcW w:w="1548" w:type="dxa"/>
                  <w:tcBorders/>
                  <w:shd w:fill="auto" w:val="clear"/>
                </w:tcPr>
                <w:p>
                  <w:pPr>
                    <w:pStyle w:val="Normal"/>
                    <w:spacing w:lineRule="auto" w:line="240" w:before="0" w:after="0"/>
                    <w:jc w:val="right"/>
                    <w:rPr>
                      <w:rFonts w:ascii="Arial" w:hAnsi="Arial" w:cs="Calibri"/>
                      <w:color w:val="auto"/>
                      <w:sz w:val="24"/>
                      <w:szCs w:val="24"/>
                      <w:lang w:eastAsia="pl-PL"/>
                    </w:rPr>
                  </w:pPr>
                  <w:r>
                    <w:rPr>
                      <w:rFonts w:cs="Calibri" w:ascii="Arial" w:hAnsi="Arial"/>
                      <w:color w:val="auto"/>
                      <w:sz w:val="24"/>
                      <w:szCs w:val="24"/>
                      <w:lang w:eastAsia="pl-PL"/>
                    </w:rPr>
                  </w:r>
                </w:p>
              </w:tc>
              <w:tc>
                <w:tcPr>
                  <w:tcW w:w="1482" w:type="dxa"/>
                  <w:tcBorders/>
                  <w:shd w:fill="auto" w:val="clear"/>
                </w:tcPr>
                <w:p>
                  <w:pPr>
                    <w:pStyle w:val="Normal"/>
                    <w:spacing w:lineRule="auto" w:line="240" w:before="0" w:after="0"/>
                    <w:jc w:val="right"/>
                    <w:rPr>
                      <w:rFonts w:ascii="Arial" w:hAnsi="Arial" w:cs="Calibri"/>
                      <w:color w:val="auto"/>
                      <w:sz w:val="24"/>
                      <w:szCs w:val="24"/>
                      <w:lang w:eastAsia="pl-PL"/>
                    </w:rPr>
                  </w:pPr>
                  <w:r>
                    <w:rPr>
                      <w:rFonts w:cs="Calibri" w:ascii="Arial" w:hAnsi="Arial"/>
                      <w:color w:val="auto"/>
                      <w:sz w:val="24"/>
                      <w:szCs w:val="24"/>
                      <w:lang w:eastAsia="pl-PL"/>
                    </w:rPr>
                  </w:r>
                </w:p>
              </w:tc>
              <w:tc>
                <w:tcPr>
                  <w:tcW w:w="1661" w:type="dxa"/>
                  <w:gridSpan w:val="2"/>
                  <w:tcBorders/>
                  <w:shd w:fill="auto" w:val="clear"/>
                </w:tcPr>
                <w:p>
                  <w:pPr>
                    <w:pStyle w:val="Normal"/>
                    <w:spacing w:lineRule="auto" w:line="240" w:before="0" w:after="0"/>
                    <w:jc w:val="right"/>
                    <w:rPr>
                      <w:rFonts w:ascii="Arial" w:hAnsi="Arial" w:cs="Calibri"/>
                      <w:color w:val="auto"/>
                      <w:sz w:val="24"/>
                      <w:szCs w:val="24"/>
                      <w:lang w:eastAsia="pl-PL"/>
                    </w:rPr>
                  </w:pPr>
                  <w:r>
                    <w:rPr>
                      <w:rFonts w:cs="Calibri" w:ascii="Arial" w:hAnsi="Arial"/>
                      <w:color w:val="auto"/>
                      <w:sz w:val="24"/>
                      <w:szCs w:val="24"/>
                      <w:lang w:eastAsia="pl-PL"/>
                    </w:rPr>
                  </w:r>
                </w:p>
              </w:tc>
              <w:tc>
                <w:tcPr>
                  <w:tcW w:w="1531" w:type="dxa"/>
                  <w:gridSpan w:val="2"/>
                  <w:tcBorders/>
                  <w:shd w:fill="auto" w:val="clear"/>
                </w:tcPr>
                <w:p>
                  <w:pPr>
                    <w:pStyle w:val="Normal"/>
                    <w:spacing w:lineRule="auto" w:line="240" w:before="0" w:after="0"/>
                    <w:jc w:val="right"/>
                    <w:rPr>
                      <w:rFonts w:ascii="Arial" w:hAnsi="Arial" w:cs="Calibri"/>
                      <w:color w:val="auto"/>
                      <w:sz w:val="24"/>
                      <w:szCs w:val="24"/>
                      <w:lang w:eastAsia="pl-PL"/>
                    </w:rPr>
                  </w:pPr>
                  <w:r>
                    <w:rPr>
                      <w:rFonts w:cs="Calibri" w:ascii="Arial" w:hAnsi="Arial"/>
                      <w:color w:val="auto"/>
                      <w:sz w:val="24"/>
                      <w:szCs w:val="24"/>
                      <w:lang w:eastAsia="pl-PL"/>
                    </w:rPr>
                  </w:r>
                </w:p>
              </w:tc>
              <w:tc>
                <w:tcPr>
                  <w:tcW w:w="1952" w:type="dxa"/>
                  <w:gridSpan w:val="3"/>
                  <w:tcBorders/>
                  <w:shd w:fill="auto" w:val="clear"/>
                </w:tcPr>
                <w:p>
                  <w:pPr>
                    <w:pStyle w:val="Normal"/>
                    <w:spacing w:lineRule="auto" w:line="240" w:before="0" w:after="0"/>
                    <w:jc w:val="right"/>
                    <w:rPr>
                      <w:rFonts w:ascii="Arial" w:hAnsi="Arial" w:cs="Calibri"/>
                      <w:color w:val="auto"/>
                      <w:sz w:val="24"/>
                      <w:szCs w:val="24"/>
                      <w:lang w:eastAsia="pl-PL"/>
                    </w:rPr>
                  </w:pPr>
                  <w:r>
                    <w:rPr>
                      <w:rFonts w:cs="Calibri" w:ascii="Arial" w:hAnsi="Arial"/>
                      <w:color w:val="auto"/>
                      <w:sz w:val="24"/>
                      <w:szCs w:val="24"/>
                      <w:lang w:eastAsia="pl-PL"/>
                    </w:rPr>
                  </w:r>
                </w:p>
              </w:tc>
            </w:tr>
            <w:tr>
              <w:trPr>
                <w:trHeight w:val="491" w:hRule="atLeast"/>
              </w:trPr>
              <w:tc>
                <w:tcPr>
                  <w:tcW w:w="659" w:type="dxa"/>
                  <w:tcBorders>
                    <w:top w:val="single" w:sz="6" w:space="0" w:color="000000"/>
                    <w:left w:val="single" w:sz="6" w:space="0" w:color="000000"/>
                    <w:right w:val="single" w:sz="6" w:space="0" w:color="000000"/>
                  </w:tcBorders>
                  <w:shd w:fill="auto" w:val="clear"/>
                </w:tcPr>
                <w:p>
                  <w:pPr>
                    <w:pStyle w:val="Normal"/>
                    <w:spacing w:lineRule="auto" w:line="240" w:before="0" w:after="0"/>
                    <w:jc w:val="center"/>
                    <w:rPr>
                      <w:rFonts w:cs="Calibri"/>
                      <w:color w:val="000000"/>
                      <w:lang w:eastAsia="pl-PL"/>
                    </w:rPr>
                  </w:pPr>
                  <w:r>
                    <w:rPr>
                      <w:rFonts w:cs="Calibri" w:ascii="Arial" w:hAnsi="Arial"/>
                      <w:color w:val="auto"/>
                      <w:sz w:val="24"/>
                      <w:szCs w:val="24"/>
                      <w:lang w:eastAsia="pl-PL"/>
                    </w:rPr>
                    <w:t>Lp.</w:t>
                  </w:r>
                </w:p>
              </w:tc>
              <w:tc>
                <w:tcPr>
                  <w:tcW w:w="1482" w:type="dxa"/>
                  <w:tcBorders>
                    <w:top w:val="single" w:sz="6" w:space="0" w:color="000000"/>
                    <w:left w:val="single" w:sz="6" w:space="0" w:color="000000"/>
                    <w:right w:val="single" w:sz="6" w:space="0" w:color="000000"/>
                  </w:tcBorders>
                  <w:shd w:fill="auto" w:val="clear"/>
                </w:tcPr>
                <w:p>
                  <w:pPr>
                    <w:pStyle w:val="Normal"/>
                    <w:spacing w:lineRule="auto" w:line="240" w:before="0" w:after="0"/>
                    <w:jc w:val="center"/>
                    <w:rPr>
                      <w:rFonts w:cs="Calibri"/>
                      <w:color w:val="000000"/>
                      <w:lang w:eastAsia="pl-PL"/>
                    </w:rPr>
                  </w:pPr>
                  <w:r>
                    <w:rPr>
                      <w:rFonts w:cs="Calibri" w:ascii="Arial" w:hAnsi="Arial"/>
                      <w:color w:val="auto"/>
                      <w:sz w:val="24"/>
                      <w:szCs w:val="24"/>
                      <w:lang w:eastAsia="pl-PL"/>
                    </w:rPr>
                    <w:t>Grupa należności</w:t>
                  </w:r>
                </w:p>
              </w:tc>
              <w:tc>
                <w:tcPr>
                  <w:tcW w:w="1548" w:type="dxa"/>
                  <w:tcBorders>
                    <w:top w:val="single" w:sz="6" w:space="0" w:color="000000"/>
                    <w:left w:val="single" w:sz="6" w:space="0" w:color="000000"/>
                    <w:right w:val="single" w:sz="6" w:space="0" w:color="000000"/>
                  </w:tcBorders>
                  <w:shd w:fill="auto" w:val="clear"/>
                </w:tcPr>
                <w:p>
                  <w:pPr>
                    <w:pStyle w:val="Normal"/>
                    <w:spacing w:lineRule="auto" w:line="240" w:before="0" w:after="0"/>
                    <w:jc w:val="center"/>
                    <w:rPr>
                      <w:rFonts w:cs="Calibri"/>
                      <w:color w:val="000000"/>
                      <w:lang w:eastAsia="pl-PL"/>
                    </w:rPr>
                  </w:pPr>
                  <w:r>
                    <w:rPr>
                      <w:rFonts w:cs="Calibri" w:ascii="Arial" w:hAnsi="Arial"/>
                      <w:color w:val="auto"/>
                      <w:sz w:val="24"/>
                      <w:szCs w:val="24"/>
                      <w:lang w:eastAsia="pl-PL"/>
                    </w:rPr>
                    <w:t>Stan na początek roku obrotowego</w:t>
                  </w:r>
                </w:p>
              </w:tc>
              <w:tc>
                <w:tcPr>
                  <w:tcW w:w="4675"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center"/>
                    <w:rPr>
                      <w:rFonts w:cs="Calibri"/>
                      <w:color w:val="000000"/>
                      <w:lang w:eastAsia="pl-PL"/>
                    </w:rPr>
                  </w:pPr>
                  <w:r>
                    <w:rPr>
                      <w:rFonts w:cs="Calibri" w:ascii="Arial" w:hAnsi="Arial"/>
                      <w:color w:val="auto"/>
                      <w:sz w:val="24"/>
                      <w:szCs w:val="24"/>
                      <w:lang w:eastAsia="pl-PL"/>
                    </w:rPr>
                    <w:t>Zmiany stanu odpisów w ciągu roku obrotowego</w:t>
                  </w:r>
                </w:p>
              </w:tc>
              <w:tc>
                <w:tcPr>
                  <w:tcW w:w="195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center"/>
                    <w:rPr>
                      <w:rFonts w:cs="Calibri"/>
                      <w:color w:val="000000"/>
                      <w:lang w:eastAsia="pl-PL"/>
                    </w:rPr>
                  </w:pPr>
                  <w:r>
                    <w:rPr>
                      <w:rFonts w:cs="Calibri" w:ascii="Arial" w:hAnsi="Arial"/>
                      <w:color w:val="auto"/>
                      <w:sz w:val="24"/>
                      <w:szCs w:val="24"/>
                      <w:lang w:eastAsia="pl-PL"/>
                    </w:rPr>
                    <w:t>Stan na koniec roku obrotowego</w:t>
                  </w:r>
                </w:p>
              </w:tc>
            </w:tr>
            <w:tr>
              <w:trPr>
                <w:trHeight w:val="376" w:hRule="atLeast"/>
              </w:trPr>
              <w:tc>
                <w:tcPr>
                  <w:tcW w:w="659" w:type="dxa"/>
                  <w:tcBorders>
                    <w:left w:val="single" w:sz="6" w:space="0" w:color="000000"/>
                    <w:bottom w:val="single" w:sz="6" w:space="0" w:color="000000"/>
                    <w:right w:val="single" w:sz="6" w:space="0" w:color="000000"/>
                  </w:tcBorders>
                  <w:shd w:fill="auto" w:val="clear"/>
                </w:tcPr>
                <w:p>
                  <w:pPr>
                    <w:pStyle w:val="Normal"/>
                    <w:spacing w:lineRule="auto" w:line="240" w:before="0" w:after="0"/>
                    <w:jc w:val="center"/>
                    <w:rPr>
                      <w:rFonts w:ascii="Arial" w:hAnsi="Arial" w:cs="Calibri"/>
                      <w:color w:val="auto"/>
                      <w:sz w:val="24"/>
                      <w:szCs w:val="24"/>
                      <w:lang w:eastAsia="pl-PL"/>
                    </w:rPr>
                  </w:pPr>
                  <w:r>
                    <w:rPr>
                      <w:rFonts w:cs="Calibri" w:ascii="Arial" w:hAnsi="Arial"/>
                      <w:color w:val="auto"/>
                      <w:sz w:val="24"/>
                      <w:szCs w:val="24"/>
                      <w:lang w:eastAsia="pl-PL"/>
                    </w:rPr>
                  </w:r>
                </w:p>
              </w:tc>
              <w:tc>
                <w:tcPr>
                  <w:tcW w:w="1482" w:type="dxa"/>
                  <w:tcBorders>
                    <w:left w:val="single" w:sz="6" w:space="0" w:color="000000"/>
                    <w:bottom w:val="single" w:sz="6" w:space="0" w:color="000000"/>
                    <w:right w:val="single" w:sz="6" w:space="0" w:color="000000"/>
                  </w:tcBorders>
                  <w:shd w:fill="auto" w:val="clear"/>
                </w:tcPr>
                <w:p>
                  <w:pPr>
                    <w:pStyle w:val="Normal"/>
                    <w:spacing w:lineRule="auto" w:line="240" w:before="0" w:after="0"/>
                    <w:jc w:val="center"/>
                    <w:rPr>
                      <w:rFonts w:ascii="Arial" w:hAnsi="Arial" w:cs="Calibri"/>
                      <w:color w:val="auto"/>
                      <w:sz w:val="24"/>
                      <w:szCs w:val="24"/>
                      <w:lang w:eastAsia="pl-PL"/>
                    </w:rPr>
                  </w:pPr>
                  <w:r>
                    <w:rPr>
                      <w:rFonts w:cs="Calibri" w:ascii="Arial" w:hAnsi="Arial"/>
                      <w:color w:val="auto"/>
                      <w:sz w:val="24"/>
                      <w:szCs w:val="24"/>
                      <w:lang w:eastAsia="pl-PL"/>
                    </w:rPr>
                  </w:r>
                </w:p>
              </w:tc>
              <w:tc>
                <w:tcPr>
                  <w:tcW w:w="1548" w:type="dxa"/>
                  <w:tcBorders>
                    <w:left w:val="single" w:sz="6" w:space="0" w:color="000000"/>
                    <w:bottom w:val="single" w:sz="6" w:space="0" w:color="000000"/>
                    <w:right w:val="single" w:sz="6" w:space="0" w:color="000000"/>
                  </w:tcBorders>
                  <w:shd w:fill="auto" w:val="clear"/>
                </w:tcPr>
                <w:p>
                  <w:pPr>
                    <w:pStyle w:val="Normal"/>
                    <w:spacing w:lineRule="auto" w:line="240" w:before="0" w:after="0"/>
                    <w:jc w:val="center"/>
                    <w:rPr>
                      <w:rFonts w:ascii="Arial" w:hAnsi="Arial" w:cs="Calibri"/>
                      <w:color w:val="auto"/>
                      <w:sz w:val="24"/>
                      <w:szCs w:val="24"/>
                      <w:lang w:eastAsia="pl-PL"/>
                    </w:rPr>
                  </w:pPr>
                  <w:r>
                    <w:rPr>
                      <w:rFonts w:cs="Calibri" w:ascii="Arial" w:hAnsi="Arial"/>
                      <w:color w:val="auto"/>
                      <w:sz w:val="24"/>
                      <w:szCs w:val="24"/>
                      <w:lang w:eastAsia="pl-PL"/>
                    </w:rPr>
                  </w:r>
                </w:p>
              </w:tc>
              <w:tc>
                <w:tcPr>
                  <w:tcW w:w="148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center"/>
                    <w:rPr>
                      <w:rFonts w:cs="Calibri"/>
                      <w:color w:val="000000"/>
                      <w:lang w:eastAsia="pl-PL"/>
                    </w:rPr>
                  </w:pPr>
                  <w:r>
                    <w:rPr>
                      <w:rFonts w:cs="Calibri" w:ascii="Arial" w:hAnsi="Arial"/>
                      <w:color w:val="auto"/>
                      <w:sz w:val="24"/>
                      <w:szCs w:val="24"/>
                      <w:lang w:eastAsia="pl-PL"/>
                    </w:rPr>
                    <w:t>zwiększenia</w:t>
                  </w:r>
                </w:p>
              </w:tc>
              <w:tc>
                <w:tcPr>
                  <w:tcW w:w="166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center"/>
                    <w:rPr>
                      <w:rFonts w:cs="Calibri"/>
                      <w:color w:val="000000"/>
                      <w:lang w:eastAsia="pl-PL"/>
                    </w:rPr>
                  </w:pPr>
                  <w:r>
                    <w:rPr>
                      <w:rFonts w:cs="Calibri" w:ascii="Arial" w:hAnsi="Arial"/>
                      <w:color w:val="auto"/>
                      <w:sz w:val="24"/>
                      <w:szCs w:val="24"/>
                      <w:lang w:eastAsia="pl-PL"/>
                    </w:rPr>
                    <w:t>wykorzystanie</w:t>
                  </w:r>
                </w:p>
              </w:tc>
              <w:tc>
                <w:tcPr>
                  <w:tcW w:w="153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center"/>
                    <w:rPr>
                      <w:rFonts w:cs="Calibri"/>
                      <w:color w:val="000000"/>
                      <w:lang w:eastAsia="pl-PL"/>
                    </w:rPr>
                  </w:pPr>
                  <w:r>
                    <w:rPr>
                      <w:rFonts w:cs="Calibri" w:ascii="Arial" w:hAnsi="Arial"/>
                      <w:color w:val="auto"/>
                      <w:sz w:val="24"/>
                      <w:szCs w:val="24"/>
                      <w:lang w:eastAsia="pl-PL"/>
                    </w:rPr>
                    <w:t>rozwiązane</w:t>
                  </w:r>
                </w:p>
              </w:tc>
              <w:tc>
                <w:tcPr>
                  <w:tcW w:w="1952"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right"/>
                    <w:rPr>
                      <w:rFonts w:ascii="Arial" w:hAnsi="Arial" w:cs="Calibri"/>
                      <w:color w:val="auto"/>
                      <w:sz w:val="24"/>
                      <w:szCs w:val="24"/>
                      <w:lang w:eastAsia="pl-PL"/>
                    </w:rPr>
                  </w:pPr>
                  <w:r>
                    <w:rPr>
                      <w:rFonts w:cs="Calibri" w:ascii="Arial" w:hAnsi="Arial"/>
                      <w:color w:val="auto"/>
                      <w:sz w:val="24"/>
                      <w:szCs w:val="24"/>
                      <w:lang w:eastAsia="pl-PL"/>
                    </w:rPr>
                  </w:r>
                </w:p>
              </w:tc>
            </w:tr>
            <w:tr>
              <w:trPr>
                <w:trHeight w:val="410" w:hRule="atLeast"/>
              </w:trPr>
              <w:tc>
                <w:tcPr>
                  <w:tcW w:w="65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center"/>
                    <w:rPr>
                      <w:rFonts w:cs="Calibri"/>
                      <w:color w:val="000000"/>
                      <w:lang w:eastAsia="pl-PL"/>
                    </w:rPr>
                  </w:pPr>
                  <w:r>
                    <w:rPr>
                      <w:rFonts w:cs="Calibri" w:ascii="Arial" w:hAnsi="Arial"/>
                      <w:color w:val="auto"/>
                      <w:sz w:val="24"/>
                      <w:szCs w:val="24"/>
                      <w:lang w:eastAsia="pl-PL"/>
                    </w:rPr>
                    <w:t>1.</w:t>
                  </w:r>
                </w:p>
              </w:tc>
              <w:tc>
                <w:tcPr>
                  <w:tcW w:w="148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center"/>
                    <w:rPr>
                      <w:rFonts w:cs="Calibri"/>
                      <w:color w:val="000000"/>
                      <w:lang w:eastAsia="pl-PL"/>
                    </w:rPr>
                  </w:pPr>
                  <w:r>
                    <w:rPr>
                      <w:rFonts w:cs="Calibri" w:ascii="Arial" w:hAnsi="Arial"/>
                      <w:color w:val="auto"/>
                      <w:sz w:val="24"/>
                      <w:szCs w:val="24"/>
                      <w:lang w:eastAsia="pl-PL"/>
                    </w:rPr>
                    <w:t>N4.1</w:t>
                  </w:r>
                </w:p>
              </w:tc>
              <w:tc>
                <w:tcPr>
                  <w:tcW w:w="154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center"/>
                    <w:rPr>
                      <w:rFonts w:cs="Calibri"/>
                      <w:color w:val="000000"/>
                      <w:lang w:eastAsia="pl-PL"/>
                    </w:rPr>
                  </w:pPr>
                  <w:r>
                    <w:rPr>
                      <w:rFonts w:cs="Calibri" w:ascii="Arial" w:hAnsi="Arial"/>
                      <w:color w:val="auto"/>
                      <w:sz w:val="24"/>
                      <w:szCs w:val="24"/>
                      <w:lang w:eastAsia="pl-PL"/>
                    </w:rPr>
                    <w:t>9 404,64</w:t>
                  </w:r>
                </w:p>
              </w:tc>
              <w:tc>
                <w:tcPr>
                  <w:tcW w:w="148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center"/>
                    <w:rPr>
                      <w:rFonts w:cs="Calibri"/>
                      <w:color w:val="000000"/>
                      <w:lang w:eastAsia="pl-PL"/>
                    </w:rPr>
                  </w:pPr>
                  <w:r>
                    <w:rPr>
                      <w:rFonts w:cs="Calibri" w:ascii="Arial" w:hAnsi="Arial"/>
                      <w:color w:val="auto"/>
                      <w:sz w:val="24"/>
                      <w:szCs w:val="24"/>
                      <w:lang w:eastAsia="pl-PL"/>
                    </w:rPr>
                    <w:t>-</w:t>
                  </w:r>
                </w:p>
              </w:tc>
              <w:tc>
                <w:tcPr>
                  <w:tcW w:w="166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center"/>
                    <w:rPr>
                      <w:rFonts w:cs="Calibri"/>
                      <w:color w:val="000000"/>
                      <w:lang w:eastAsia="pl-PL"/>
                    </w:rPr>
                  </w:pPr>
                  <w:r>
                    <w:rPr>
                      <w:rFonts w:cs="Calibri" w:ascii="Arial" w:hAnsi="Arial"/>
                      <w:color w:val="auto"/>
                      <w:sz w:val="24"/>
                      <w:szCs w:val="24"/>
                      <w:lang w:eastAsia="pl-PL"/>
                    </w:rPr>
                    <w:t>-</w:t>
                  </w:r>
                </w:p>
              </w:tc>
              <w:tc>
                <w:tcPr>
                  <w:tcW w:w="153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center"/>
                    <w:rPr>
                      <w:rFonts w:cs="Calibri"/>
                      <w:color w:val="000000"/>
                      <w:lang w:eastAsia="pl-PL"/>
                    </w:rPr>
                  </w:pPr>
                  <w:r>
                    <w:rPr>
                      <w:rFonts w:cs="Calibri" w:ascii="Arial" w:hAnsi="Arial"/>
                      <w:color w:val="auto"/>
                      <w:sz w:val="24"/>
                      <w:szCs w:val="24"/>
                      <w:lang w:eastAsia="pl-PL"/>
                    </w:rPr>
                    <w:t>-</w:t>
                  </w:r>
                </w:p>
              </w:tc>
              <w:tc>
                <w:tcPr>
                  <w:tcW w:w="1952"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center"/>
                    <w:rPr>
                      <w:rFonts w:cs="Calibri"/>
                      <w:color w:val="000000"/>
                      <w:lang w:eastAsia="pl-PL"/>
                    </w:rPr>
                  </w:pPr>
                  <w:r>
                    <w:rPr>
                      <w:rFonts w:cs="Calibri" w:ascii="Arial" w:hAnsi="Arial"/>
                      <w:color w:val="auto"/>
                      <w:sz w:val="24"/>
                      <w:szCs w:val="24"/>
                      <w:lang w:eastAsia="pl-PL"/>
                    </w:rPr>
                    <w:t>9 404,64</w:t>
                  </w:r>
                </w:p>
              </w:tc>
            </w:tr>
          </w:tbl>
          <w:p>
            <w:pPr>
              <w:pStyle w:val="Normal"/>
              <w:widowControl w:val="false"/>
              <w:spacing w:lineRule="auto" w:line="249" w:before="46" w:after="0"/>
              <w:ind w:right="40" w:hanging="0"/>
              <w:jc w:val="both"/>
              <w:rPr>
                <w:rFonts w:ascii="Arial" w:hAnsi="Arial"/>
                <w:b/>
                <w:b/>
                <w:color w:val="auto"/>
                <w:sz w:val="24"/>
                <w:szCs w:val="24"/>
              </w:rPr>
            </w:pPr>
            <w:r>
              <w:rPr>
                <w:rFonts w:ascii="Arial" w:hAnsi="Arial"/>
                <w:b/>
                <w:color w:val="auto"/>
                <w:sz w:val="24"/>
                <w:szCs w:val="24"/>
              </w:rPr>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1.8.</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1.9.</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a)</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powyżej 1 roku do 3 lat</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b)</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powyżej 3 do 5 lat</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c)</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powyżej 5 lat</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1.10.</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1.11.</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1.12.</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1.13.</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w:hAnsi="Arial"/>
                <w:color w:val="auto"/>
                <w:sz w:val="24"/>
                <w:szCs w:val="24"/>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1.14.</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łączną kwotę otrzymanych przez jednostkę gwarancji i poręczeń niewykazanych w bilansie</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rHeight w:val="426" w:hRule="atLeast"/>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color w:val="2E2014"/>
                <w:sz w:val="20"/>
                <w:szCs w:val="20"/>
              </w:rPr>
            </w:pPr>
            <w:r>
              <w:rPr>
                <w:rFonts w:ascii="Arial" w:hAnsi="Arial"/>
                <w:color w:val="auto"/>
                <w:sz w:val="24"/>
                <w:szCs w:val="24"/>
              </w:rPr>
              <w:t>1.15</w:t>
            </w:r>
          </w:p>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kwotę wypłaconych środków pieniężnych na świadczenia pracownicze</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0"/>
                <w:szCs w:val="20"/>
              </w:rPr>
            </w:pPr>
            <w:r>
              <w:rPr>
                <w:rFonts w:ascii="Arial" w:hAnsi="Arial"/>
                <w:b/>
                <w:color w:val="auto"/>
                <w:sz w:val="24"/>
                <w:szCs w:val="24"/>
              </w:rPr>
              <w:t>235 938,50</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1.16.</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inne informacje</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0"/>
                <w:szCs w:val="20"/>
              </w:rPr>
            </w:pPr>
            <w:r>
              <w:rPr>
                <w:rFonts w:ascii="Arial" w:hAnsi="Arial"/>
                <w:b/>
                <w:color w:val="auto"/>
                <w:sz w:val="24"/>
                <w:szCs w:val="24"/>
              </w:rPr>
              <w:t>- umorzenie pozostałych środków trwałych – 2 028 529,10</w:t>
            </w:r>
          </w:p>
          <w:p>
            <w:pPr>
              <w:pStyle w:val="Normal"/>
              <w:spacing w:lineRule="auto" w:line="240" w:before="0" w:after="0"/>
              <w:rPr>
                <w:b/>
                <w:b/>
                <w:sz w:val="20"/>
                <w:szCs w:val="20"/>
              </w:rPr>
            </w:pPr>
            <w:r>
              <w:rPr>
                <w:rFonts w:ascii="Arial" w:hAnsi="Arial"/>
                <w:b/>
                <w:color w:val="auto"/>
                <w:sz w:val="24"/>
                <w:szCs w:val="24"/>
              </w:rPr>
              <w:t>- umorzenie zborów bibliotecznych                -       69 387,18</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2.</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2.1.</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wysokość odpisów aktualizujących wartość zapasów</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2.2.</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wystąpił</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2.3.</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Fundusz Pomocy Ukrainie - 6 497,35</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2.4.</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jc w:val="both"/>
              <w:rPr>
                <w:rFonts w:ascii="Arial" w:hAnsi="Arial"/>
                <w:color w:val="auto"/>
                <w:sz w:val="24"/>
                <w:szCs w:val="24"/>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2.5.</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inne informacje</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3.</w:t>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c>
          <w:tcPr>
            <w:tcW w:w="6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5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bl>
    <w:p>
      <w:pPr>
        <w:pStyle w:val="Normal"/>
        <w:rPr>
          <w:rFonts w:ascii="Arial" w:hAnsi="Arial"/>
          <w:b/>
          <w:b/>
          <w:color w:val="auto"/>
          <w:sz w:val="24"/>
          <w:szCs w:val="24"/>
        </w:rPr>
      </w:pPr>
      <w:r>
        <w:rPr>
          <w:rFonts w:ascii="Arial" w:hAnsi="Arial"/>
          <w:b/>
          <w:color w:val="auto"/>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2992"/>
        <w:gridCol w:w="3890"/>
        <w:gridCol w:w="2867"/>
      </w:tblGrid>
      <w:tr>
        <w:trPr>
          <w:trHeight w:val="280" w:hRule="exact"/>
        </w:trPr>
        <w:tc>
          <w:tcPr>
            <w:tcW w:w="2992" w:type="dxa"/>
            <w:tcBorders/>
            <w:shd w:fill="auto" w:val="clear"/>
          </w:tcPr>
          <w:p>
            <w:pPr>
              <w:pStyle w:val="Normal"/>
              <w:widowControl w:val="false"/>
              <w:spacing w:lineRule="exact" w:line="203" w:before="76" w:after="160"/>
              <w:ind w:left="40" w:right="-20" w:hanging="0"/>
              <w:rPr>
                <w:rFonts w:ascii="Arial" w:hAnsi="Arial"/>
                <w:color w:val="auto"/>
                <w:sz w:val="24"/>
                <w:szCs w:val="24"/>
              </w:rPr>
            </w:pPr>
            <w:r>
              <w:rPr>
                <w:rFonts w:ascii="Arial" w:hAnsi="Arial"/>
                <w:color w:val="auto"/>
                <w:sz w:val="24"/>
                <w:szCs w:val="24"/>
              </w:rPr>
            </w:r>
          </w:p>
        </w:tc>
        <w:tc>
          <w:tcPr>
            <w:tcW w:w="3890" w:type="dxa"/>
            <w:tcBorders/>
            <w:shd w:fill="auto" w:val="clear"/>
          </w:tcPr>
          <w:p>
            <w:pPr>
              <w:pStyle w:val="Normal"/>
              <w:widowControl w:val="false"/>
              <w:spacing w:lineRule="exact" w:line="203" w:before="76" w:after="160"/>
              <w:ind w:right="-20" w:hanging="0"/>
              <w:rPr>
                <w:rFonts w:ascii="Arial" w:hAnsi="Arial"/>
                <w:color w:val="auto"/>
                <w:sz w:val="24"/>
                <w:szCs w:val="24"/>
              </w:rPr>
            </w:pPr>
            <w:r>
              <w:rPr>
                <w:rFonts w:ascii="Arial" w:hAnsi="Arial"/>
                <w:color w:val="auto"/>
                <w:sz w:val="24"/>
                <w:szCs w:val="24"/>
              </w:rPr>
            </w:r>
          </w:p>
        </w:tc>
        <w:tc>
          <w:tcPr>
            <w:tcW w:w="2867" w:type="dxa"/>
            <w:tcBorders/>
            <w:shd w:fill="auto" w:val="clear"/>
          </w:tcPr>
          <w:p>
            <w:pPr>
              <w:pStyle w:val="Normal"/>
              <w:widowControl w:val="false"/>
              <w:spacing w:lineRule="exact" w:line="203" w:before="76" w:after="160"/>
              <w:ind w:right="-20" w:hanging="0"/>
              <w:rPr>
                <w:rFonts w:ascii="Arial" w:hAnsi="Arial"/>
                <w:color w:val="auto"/>
                <w:sz w:val="24"/>
                <w:szCs w:val="24"/>
              </w:rPr>
            </w:pPr>
            <w:r>
              <w:rPr>
                <w:rFonts w:ascii="Arial" w:hAnsi="Arial"/>
                <w:color w:val="auto"/>
                <w:sz w:val="24"/>
                <w:szCs w:val="24"/>
              </w:rPr>
            </w:r>
          </w:p>
        </w:tc>
      </w:tr>
      <w:tr>
        <w:trPr>
          <w:trHeight w:val="280" w:hRule="exact"/>
        </w:trPr>
        <w:tc>
          <w:tcPr>
            <w:tcW w:w="2992"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c>
          <w:tcPr>
            <w:tcW w:w="3890"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..........2025.03.17</w:t>
            </w:r>
            <w:bookmarkStart w:id="0" w:name="_GoBack"/>
            <w:bookmarkEnd w:id="0"/>
            <w:r>
              <w:rPr>
                <w:rFonts w:ascii="Arial" w:hAnsi="Arial"/>
                <w:color w:val="auto"/>
                <w:position w:val="0"/>
                <w:sz w:val="24"/>
                <w:szCs w:val="24"/>
              </w:rPr>
              <w:t>................................</w:t>
            </w:r>
          </w:p>
        </w:tc>
        <w:tc>
          <w:tcPr>
            <w:tcW w:w="2867"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r>
      <w:tr>
        <w:trPr>
          <w:trHeight w:val="280" w:hRule="exact"/>
        </w:trPr>
        <w:tc>
          <w:tcPr>
            <w:tcW w:w="2992" w:type="dxa"/>
            <w:tcBorders/>
            <w:shd w:fill="auto" w:val="clear"/>
          </w:tcPr>
          <w:p>
            <w:pPr>
              <w:pStyle w:val="Normal"/>
              <w:widowControl w:val="false"/>
              <w:spacing w:lineRule="exact" w:line="203" w:before="76" w:after="160"/>
              <w:ind w:right="-20" w:hanging="0"/>
              <w:rPr>
                <w:rFonts w:ascii="Arial" w:hAnsi="Arial"/>
                <w:color w:val="auto"/>
                <w:sz w:val="24"/>
                <w:szCs w:val="24"/>
              </w:rPr>
            </w:pPr>
            <w:r>
              <w:rPr>
                <w:rFonts w:ascii="Arial" w:hAnsi="Arial"/>
                <w:color w:val="auto"/>
                <w:sz w:val="24"/>
                <w:szCs w:val="24"/>
              </w:rPr>
            </w:r>
          </w:p>
        </w:tc>
        <w:tc>
          <w:tcPr>
            <w:tcW w:w="3890" w:type="dxa"/>
            <w:tcBorders/>
            <w:shd w:fill="auto" w:val="clear"/>
          </w:tcPr>
          <w:p>
            <w:pPr>
              <w:pStyle w:val="Normal"/>
              <w:widowControl w:val="false"/>
              <w:spacing w:lineRule="exact" w:line="203" w:before="76" w:after="160"/>
              <w:ind w:right="-20" w:hanging="0"/>
              <w:rPr>
                <w:rFonts w:ascii="Arial" w:hAnsi="Arial"/>
                <w:color w:val="auto"/>
                <w:sz w:val="24"/>
                <w:szCs w:val="24"/>
              </w:rPr>
            </w:pPr>
            <w:r>
              <w:rPr>
                <w:rFonts w:ascii="Arial" w:hAnsi="Arial"/>
                <w:color w:val="auto"/>
                <w:sz w:val="24"/>
                <w:szCs w:val="24"/>
              </w:rPr>
            </w:r>
          </w:p>
        </w:tc>
        <w:tc>
          <w:tcPr>
            <w:tcW w:w="2867" w:type="dxa"/>
            <w:tcBorders/>
            <w:shd w:fill="auto" w:val="clear"/>
          </w:tcPr>
          <w:p>
            <w:pPr>
              <w:pStyle w:val="Normal"/>
              <w:widowControl w:val="false"/>
              <w:spacing w:lineRule="exact" w:line="203" w:before="76" w:after="160"/>
              <w:ind w:right="-20" w:hanging="0"/>
              <w:rPr>
                <w:rFonts w:ascii="Arial" w:hAnsi="Arial"/>
                <w:color w:val="auto"/>
                <w:sz w:val="24"/>
                <w:szCs w:val="24"/>
              </w:rPr>
            </w:pPr>
            <w:r>
              <w:rPr>
                <w:rFonts w:ascii="Arial" w:hAnsi="Arial"/>
                <w:color w:val="auto"/>
                <w:sz w:val="24"/>
                <w:szCs w:val="24"/>
              </w:rPr>
            </w:r>
          </w:p>
        </w:tc>
      </w:tr>
      <w:tr>
        <w:trPr>
          <w:trHeight w:val="280" w:hRule="exact"/>
        </w:trPr>
        <w:tc>
          <w:tcPr>
            <w:tcW w:w="2992" w:type="dxa"/>
            <w:tcBorders/>
            <w:shd w:fill="auto" w:val="clear"/>
          </w:tcPr>
          <w:p>
            <w:pPr>
              <w:pStyle w:val="Normal"/>
              <w:widowControl w:val="false"/>
              <w:spacing w:lineRule="exact" w:line="203" w:before="76" w:after="160"/>
              <w:ind w:left="40" w:right="-20" w:hanging="0"/>
              <w:rPr>
                <w:rFonts w:ascii="Arial" w:hAnsi="Arial"/>
                <w:color w:val="auto"/>
                <w:sz w:val="24"/>
                <w:szCs w:val="24"/>
              </w:rPr>
            </w:pPr>
            <w:r>
              <w:rPr>
                <w:rFonts w:ascii="Arial" w:hAnsi="Arial"/>
                <w:color w:val="auto"/>
                <w:sz w:val="24"/>
                <w:szCs w:val="24"/>
              </w:rPr>
            </w:r>
          </w:p>
        </w:tc>
        <w:tc>
          <w:tcPr>
            <w:tcW w:w="3890" w:type="dxa"/>
            <w:tcBorders/>
            <w:shd w:fill="auto" w:val="clear"/>
          </w:tcPr>
          <w:p>
            <w:pPr>
              <w:pStyle w:val="Normal"/>
              <w:widowControl w:val="false"/>
              <w:spacing w:lineRule="exact" w:line="203" w:before="76" w:after="160"/>
              <w:ind w:right="-20" w:hanging="0"/>
              <w:rPr>
                <w:rFonts w:ascii="Arial" w:hAnsi="Arial"/>
                <w:color w:val="auto"/>
                <w:sz w:val="24"/>
                <w:szCs w:val="24"/>
              </w:rPr>
            </w:pPr>
            <w:r>
              <w:rPr>
                <w:rFonts w:ascii="Arial" w:hAnsi="Arial"/>
                <w:color w:val="auto"/>
                <w:sz w:val="24"/>
                <w:szCs w:val="24"/>
              </w:rPr>
            </w:r>
          </w:p>
        </w:tc>
        <w:tc>
          <w:tcPr>
            <w:tcW w:w="2867" w:type="dxa"/>
            <w:tcBorders/>
            <w:shd w:fill="auto" w:val="clear"/>
          </w:tcPr>
          <w:p>
            <w:pPr>
              <w:pStyle w:val="Normal"/>
              <w:widowControl w:val="false"/>
              <w:spacing w:lineRule="exact" w:line="203" w:before="76" w:after="160"/>
              <w:ind w:right="-20" w:hanging="0"/>
              <w:rPr>
                <w:rFonts w:ascii="Arial" w:hAnsi="Arial"/>
                <w:color w:val="auto"/>
                <w:sz w:val="24"/>
                <w:szCs w:val="24"/>
              </w:rPr>
            </w:pPr>
            <w:r>
              <w:rPr>
                <w:rFonts w:ascii="Arial" w:hAnsi="Arial"/>
                <w:color w:val="auto"/>
                <w:sz w:val="24"/>
                <w:szCs w:val="24"/>
              </w:rPr>
            </w:r>
          </w:p>
        </w:tc>
      </w:tr>
      <w:tr>
        <w:trPr>
          <w:trHeight w:val="280" w:hRule="exact"/>
        </w:trPr>
        <w:tc>
          <w:tcPr>
            <w:tcW w:w="2992" w:type="dxa"/>
            <w:tcBorders/>
            <w:shd w:fill="auto" w:val="clear"/>
          </w:tcPr>
          <w:p>
            <w:pPr>
              <w:pStyle w:val="Normal"/>
              <w:widowControl w:val="false"/>
              <w:spacing w:lineRule="exact" w:line="184" w:before="0" w:after="160"/>
              <w:ind w:left="288" w:right="-20" w:hanging="0"/>
              <w:rPr>
                <w:sz w:val="16"/>
                <w:szCs w:val="16"/>
              </w:rPr>
            </w:pPr>
            <w:r>
              <w:rPr>
                <w:rFonts w:ascii="Arial" w:hAnsi="Arial"/>
                <w:color w:val="auto"/>
                <w:sz w:val="24"/>
                <w:szCs w:val="24"/>
              </w:rPr>
              <w:t>(główny księgowy)</w:t>
            </w:r>
          </w:p>
        </w:tc>
        <w:tc>
          <w:tcPr>
            <w:tcW w:w="3890"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(rok, miesiąc, dzień)</w:t>
            </w:r>
          </w:p>
        </w:tc>
        <w:tc>
          <w:tcPr>
            <w:tcW w:w="2867"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(kierownik jednostki)</w:t>
            </w:r>
          </w:p>
        </w:tc>
      </w:tr>
    </w:tbl>
    <w:p>
      <w:pPr>
        <w:pStyle w:val="Normal"/>
        <w:spacing w:before="0" w:after="160"/>
        <w:rPr>
          <w:rFonts w:ascii="Arial" w:hAnsi="Arial"/>
          <w:color w:val="auto"/>
          <w:sz w:val="24"/>
          <w:szCs w:val="24"/>
        </w:rPr>
      </w:pPr>
      <w:r>
        <w:rPr>
          <w:rFonts w:ascii="Arial" w:hAnsi="Arial"/>
          <w:color w:val="auto"/>
          <w:sz w:val="24"/>
          <w:szCs w:val="24"/>
        </w:rPr>
      </w:r>
    </w:p>
    <w:sectPr>
      <w:type w:val="nextPage"/>
      <w:pgSz w:orient="landscape" w:w="16838" w:h="11906"/>
      <w:pgMar w:left="851" w:right="851" w:header="0" w:top="851"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2">
    <w:lvl w:ilvl="0">
      <w:start w:val="1"/>
      <w:numFmt w:val="decimal"/>
      <w:lvlText w:val="%1."/>
      <w:lvlJc w:val="left"/>
      <w:pPr>
        <w:tabs>
          <w:tab w:val="num" w:pos="1205"/>
        </w:tabs>
        <w:ind w:left="1205" w:hanging="360"/>
      </w:pPr>
      <w:rPr/>
    </w:lvl>
    <w:lvl w:ilvl="1">
      <w:start w:val="1"/>
      <w:numFmt w:val="decimal"/>
      <w:lvlText w:val="%2."/>
      <w:lvlJc w:val="left"/>
      <w:pPr>
        <w:tabs>
          <w:tab w:val="num" w:pos="1565"/>
        </w:tabs>
        <w:ind w:left="1565" w:hanging="360"/>
      </w:pPr>
      <w:rPr/>
    </w:lvl>
    <w:lvl w:ilvl="2">
      <w:start w:val="1"/>
      <w:numFmt w:val="decimal"/>
      <w:lvlText w:val="%3."/>
      <w:lvlJc w:val="left"/>
      <w:pPr>
        <w:tabs>
          <w:tab w:val="num" w:pos="1925"/>
        </w:tabs>
        <w:ind w:left="1925" w:hanging="360"/>
      </w:pPr>
      <w:rPr/>
    </w:lvl>
    <w:lvl w:ilvl="3">
      <w:start w:val="1"/>
      <w:numFmt w:val="decimal"/>
      <w:lvlText w:val="%4."/>
      <w:lvlJc w:val="left"/>
      <w:pPr>
        <w:tabs>
          <w:tab w:val="num" w:pos="2285"/>
        </w:tabs>
        <w:ind w:left="2285" w:hanging="360"/>
      </w:pPr>
      <w:rPr/>
    </w:lvl>
    <w:lvl w:ilvl="4">
      <w:start w:val="1"/>
      <w:numFmt w:val="decimal"/>
      <w:lvlText w:val="%5."/>
      <w:lvlJc w:val="left"/>
      <w:pPr>
        <w:tabs>
          <w:tab w:val="num" w:pos="2645"/>
        </w:tabs>
        <w:ind w:left="2645" w:hanging="360"/>
      </w:pPr>
      <w:rPr/>
    </w:lvl>
    <w:lvl w:ilvl="5">
      <w:start w:val="1"/>
      <w:numFmt w:val="decimal"/>
      <w:lvlText w:val="%6."/>
      <w:lvlJc w:val="left"/>
      <w:pPr>
        <w:tabs>
          <w:tab w:val="num" w:pos="3005"/>
        </w:tabs>
        <w:ind w:left="3005" w:hanging="360"/>
      </w:pPr>
      <w:rPr/>
    </w:lvl>
    <w:lvl w:ilvl="6">
      <w:start w:val="1"/>
      <w:numFmt w:val="decimal"/>
      <w:lvlText w:val="%7."/>
      <w:lvlJc w:val="left"/>
      <w:pPr>
        <w:tabs>
          <w:tab w:val="num" w:pos="3365"/>
        </w:tabs>
        <w:ind w:left="3365" w:hanging="360"/>
      </w:pPr>
      <w:rPr/>
    </w:lvl>
    <w:lvl w:ilvl="7">
      <w:start w:val="1"/>
      <w:numFmt w:val="decimal"/>
      <w:lvlText w:val="%8."/>
      <w:lvlJc w:val="left"/>
      <w:pPr>
        <w:tabs>
          <w:tab w:val="num" w:pos="3725"/>
        </w:tabs>
        <w:ind w:left="3725" w:hanging="360"/>
      </w:pPr>
      <w:rPr/>
    </w:lvl>
    <w:lvl w:ilvl="8">
      <w:start w:val="1"/>
      <w:numFmt w:val="decimal"/>
      <w:lvlText w:val="%9."/>
      <w:lvlJc w:val="left"/>
      <w:pPr>
        <w:tabs>
          <w:tab w:val="num" w:pos="4085"/>
        </w:tabs>
        <w:ind w:left="4085" w:hanging="360"/>
      </w:pPr>
      <w:rPr/>
    </w:lvl>
  </w:abstractNum>
  <w:abstractNum w:abstractNumId="3">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1426"/>
        </w:tabs>
        <w:ind w:left="1426" w:hanging="360"/>
      </w:pPr>
      <w:rPr/>
    </w:lvl>
    <w:lvl w:ilvl="1">
      <w:start w:val="1"/>
      <w:numFmt w:val="decimal"/>
      <w:lvlText w:val="%2."/>
      <w:lvlJc w:val="left"/>
      <w:pPr>
        <w:tabs>
          <w:tab w:val="num" w:pos="1786"/>
        </w:tabs>
        <w:ind w:left="1786" w:hanging="360"/>
      </w:pPr>
      <w:rPr/>
    </w:lvl>
    <w:lvl w:ilvl="2">
      <w:start w:val="1"/>
      <w:numFmt w:val="decimal"/>
      <w:lvlText w:val="%3."/>
      <w:lvlJc w:val="left"/>
      <w:pPr>
        <w:tabs>
          <w:tab w:val="num" w:pos="2146"/>
        </w:tabs>
        <w:ind w:left="2146" w:hanging="360"/>
      </w:pPr>
      <w:rPr/>
    </w:lvl>
    <w:lvl w:ilvl="3">
      <w:start w:val="1"/>
      <w:numFmt w:val="decimal"/>
      <w:lvlText w:val="%4."/>
      <w:lvlJc w:val="left"/>
      <w:pPr>
        <w:tabs>
          <w:tab w:val="num" w:pos="2506"/>
        </w:tabs>
        <w:ind w:left="2506" w:hanging="360"/>
      </w:pPr>
      <w:rPr/>
    </w:lvl>
    <w:lvl w:ilvl="4">
      <w:start w:val="1"/>
      <w:numFmt w:val="decimal"/>
      <w:lvlText w:val="%5."/>
      <w:lvlJc w:val="left"/>
      <w:pPr>
        <w:tabs>
          <w:tab w:val="num" w:pos="2866"/>
        </w:tabs>
        <w:ind w:left="2866" w:hanging="360"/>
      </w:pPr>
      <w:rPr/>
    </w:lvl>
    <w:lvl w:ilvl="5">
      <w:start w:val="1"/>
      <w:numFmt w:val="decimal"/>
      <w:lvlText w:val="%6."/>
      <w:lvlJc w:val="left"/>
      <w:pPr>
        <w:tabs>
          <w:tab w:val="num" w:pos="3226"/>
        </w:tabs>
        <w:ind w:left="3226" w:hanging="360"/>
      </w:pPr>
      <w:rPr/>
    </w:lvl>
    <w:lvl w:ilvl="6">
      <w:start w:val="1"/>
      <w:numFmt w:val="decimal"/>
      <w:lvlText w:val="%7."/>
      <w:lvlJc w:val="left"/>
      <w:pPr>
        <w:tabs>
          <w:tab w:val="num" w:pos="3586"/>
        </w:tabs>
        <w:ind w:left="3586" w:hanging="360"/>
      </w:pPr>
      <w:rPr/>
    </w:lvl>
    <w:lvl w:ilvl="7">
      <w:start w:val="1"/>
      <w:numFmt w:val="decimal"/>
      <w:lvlText w:val="%8."/>
      <w:lvlJc w:val="left"/>
      <w:pPr>
        <w:tabs>
          <w:tab w:val="num" w:pos="3946"/>
        </w:tabs>
        <w:ind w:left="3946" w:hanging="360"/>
      </w:pPr>
      <w:rPr/>
    </w:lvl>
    <w:lvl w:ilvl="8">
      <w:start w:val="1"/>
      <w:numFmt w:val="decimal"/>
      <w:lvlText w:val="%9."/>
      <w:lvlJc w:val="left"/>
      <w:pPr>
        <w:tabs>
          <w:tab w:val="num" w:pos="4306"/>
        </w:tabs>
        <w:ind w:left="4306" w:hanging="360"/>
      </w:pPr>
      <w:rPr/>
    </w:lvl>
  </w:abstractNum>
  <w:abstractNum w:abstractNumId="5">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096"/>
        </w:tabs>
        <w:ind w:left="1096" w:hanging="360"/>
      </w:pPr>
      <w:rPr>
        <w:rFonts w:ascii="Symbol" w:hAnsi="Symbol" w:cs="Symbol" w:hint="default"/>
        <w:rFonts w:cs="OpenSymbol"/>
      </w:rPr>
    </w:lvl>
    <w:lvl w:ilvl="1">
      <w:start w:val="1"/>
      <w:numFmt w:val="bullet"/>
      <w:lvlText w:val="◦"/>
      <w:lvlJc w:val="left"/>
      <w:pPr>
        <w:tabs>
          <w:tab w:val="num" w:pos="1456"/>
        </w:tabs>
        <w:ind w:left="1456" w:hanging="360"/>
      </w:pPr>
      <w:rPr>
        <w:rFonts w:ascii="OpenSymbol" w:hAnsi="OpenSymbol" w:cs="OpenSymbol" w:hint="default"/>
        <w:rFonts w:cs="OpenSymbol"/>
      </w:rPr>
    </w:lvl>
    <w:lvl w:ilvl="2">
      <w:start w:val="1"/>
      <w:numFmt w:val="bullet"/>
      <w:lvlText w:val="▪"/>
      <w:lvlJc w:val="left"/>
      <w:pPr>
        <w:tabs>
          <w:tab w:val="num" w:pos="1816"/>
        </w:tabs>
        <w:ind w:left="1816" w:hanging="360"/>
      </w:pPr>
      <w:rPr>
        <w:rFonts w:ascii="OpenSymbol" w:hAnsi="OpenSymbol" w:cs="OpenSymbol" w:hint="default"/>
        <w:rFonts w:cs="OpenSymbol"/>
      </w:rPr>
    </w:lvl>
    <w:lvl w:ilvl="3">
      <w:start w:val="1"/>
      <w:numFmt w:val="bullet"/>
      <w:lvlText w:val=""/>
      <w:lvlJc w:val="left"/>
      <w:pPr>
        <w:tabs>
          <w:tab w:val="num" w:pos="2176"/>
        </w:tabs>
        <w:ind w:left="2176" w:hanging="360"/>
      </w:pPr>
      <w:rPr>
        <w:rFonts w:ascii="Symbol" w:hAnsi="Symbol" w:cs="Symbol" w:hint="default"/>
        <w:rFonts w:cs="OpenSymbol"/>
      </w:rPr>
    </w:lvl>
    <w:lvl w:ilvl="4">
      <w:start w:val="1"/>
      <w:numFmt w:val="bullet"/>
      <w:lvlText w:val="◦"/>
      <w:lvlJc w:val="left"/>
      <w:pPr>
        <w:tabs>
          <w:tab w:val="num" w:pos="2536"/>
        </w:tabs>
        <w:ind w:left="2536" w:hanging="360"/>
      </w:pPr>
      <w:rPr>
        <w:rFonts w:ascii="OpenSymbol" w:hAnsi="OpenSymbol" w:cs="OpenSymbol" w:hint="default"/>
        <w:rFonts w:cs="OpenSymbol"/>
      </w:rPr>
    </w:lvl>
    <w:lvl w:ilvl="5">
      <w:start w:val="1"/>
      <w:numFmt w:val="bullet"/>
      <w:lvlText w:val="▪"/>
      <w:lvlJc w:val="left"/>
      <w:pPr>
        <w:tabs>
          <w:tab w:val="num" w:pos="2896"/>
        </w:tabs>
        <w:ind w:left="2896" w:hanging="360"/>
      </w:pPr>
      <w:rPr>
        <w:rFonts w:ascii="OpenSymbol" w:hAnsi="OpenSymbol" w:cs="OpenSymbol" w:hint="default"/>
        <w:rFonts w:cs="OpenSymbol"/>
      </w:rPr>
    </w:lvl>
    <w:lvl w:ilvl="6">
      <w:start w:val="1"/>
      <w:numFmt w:val="bullet"/>
      <w:lvlText w:val=""/>
      <w:lvlJc w:val="left"/>
      <w:pPr>
        <w:tabs>
          <w:tab w:val="num" w:pos="3256"/>
        </w:tabs>
        <w:ind w:left="3256" w:hanging="360"/>
      </w:pPr>
      <w:rPr>
        <w:rFonts w:ascii="Symbol" w:hAnsi="Symbol" w:cs="Symbol" w:hint="default"/>
        <w:rFonts w:cs="OpenSymbol"/>
      </w:rPr>
    </w:lvl>
    <w:lvl w:ilvl="7">
      <w:start w:val="1"/>
      <w:numFmt w:val="bullet"/>
      <w:lvlText w:val="◦"/>
      <w:lvlJc w:val="left"/>
      <w:pPr>
        <w:tabs>
          <w:tab w:val="num" w:pos="3616"/>
        </w:tabs>
        <w:ind w:left="3616" w:hanging="360"/>
      </w:pPr>
      <w:rPr>
        <w:rFonts w:ascii="OpenSymbol" w:hAnsi="OpenSymbol" w:cs="OpenSymbol" w:hint="default"/>
        <w:rFonts w:cs="OpenSymbol"/>
      </w:rPr>
    </w:lvl>
    <w:lvl w:ilvl="8">
      <w:start w:val="1"/>
      <w:numFmt w:val="bullet"/>
      <w:lvlText w:val="▪"/>
      <w:lvlJc w:val="left"/>
      <w:pPr>
        <w:tabs>
          <w:tab w:val="num" w:pos="3976"/>
        </w:tabs>
        <w:ind w:left="3976" w:hanging="360"/>
      </w:pPr>
      <w:rPr>
        <w:rFonts w:ascii="OpenSymbol" w:hAnsi="OpenSymbol" w:cs="OpenSymbol" w:hint="default"/>
        <w:rFonts w:cs="OpenSymbol"/>
      </w:rPr>
    </w:lvl>
  </w:abstractNum>
  <w:abstractNum w:abstractNumId="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0">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1">
    <w:lvl w:ilvl="0">
      <w:start w:val="1"/>
      <w:numFmt w:val="bullet"/>
      <w:lvlText w:val=""/>
      <w:lvlJc w:val="left"/>
      <w:pPr>
        <w:tabs>
          <w:tab w:val="num" w:pos="832"/>
        </w:tabs>
        <w:ind w:left="832" w:hanging="360"/>
      </w:pPr>
      <w:rPr>
        <w:rFonts w:ascii="Symbol" w:hAnsi="Symbol" w:cs="Symbol" w:hint="default"/>
        <w:rFonts w:cs="OpenSymbol"/>
      </w:rPr>
    </w:lvl>
    <w:lvl w:ilvl="1">
      <w:start w:val="1"/>
      <w:numFmt w:val="bullet"/>
      <w:lvlText w:val="◦"/>
      <w:lvlJc w:val="left"/>
      <w:pPr>
        <w:tabs>
          <w:tab w:val="num" w:pos="1192"/>
        </w:tabs>
        <w:ind w:left="1192" w:hanging="360"/>
      </w:pPr>
      <w:rPr>
        <w:rFonts w:ascii="OpenSymbol" w:hAnsi="OpenSymbol" w:cs="OpenSymbol" w:hint="default"/>
        <w:rFonts w:cs="OpenSymbol"/>
      </w:rPr>
    </w:lvl>
    <w:lvl w:ilvl="2">
      <w:start w:val="1"/>
      <w:numFmt w:val="bullet"/>
      <w:lvlText w:val="▪"/>
      <w:lvlJc w:val="left"/>
      <w:pPr>
        <w:tabs>
          <w:tab w:val="num" w:pos="1552"/>
        </w:tabs>
        <w:ind w:left="1552" w:hanging="360"/>
      </w:pPr>
      <w:rPr>
        <w:rFonts w:ascii="OpenSymbol" w:hAnsi="OpenSymbol" w:cs="OpenSymbol" w:hint="default"/>
        <w:rFonts w:cs="OpenSymbol"/>
      </w:rPr>
    </w:lvl>
    <w:lvl w:ilvl="3">
      <w:start w:val="1"/>
      <w:numFmt w:val="bullet"/>
      <w:lvlText w:val=""/>
      <w:lvlJc w:val="left"/>
      <w:pPr>
        <w:tabs>
          <w:tab w:val="num" w:pos="1912"/>
        </w:tabs>
        <w:ind w:left="1912" w:hanging="360"/>
      </w:pPr>
      <w:rPr>
        <w:rFonts w:ascii="Symbol" w:hAnsi="Symbol" w:cs="Symbol" w:hint="default"/>
        <w:rFonts w:cs="OpenSymbol"/>
      </w:rPr>
    </w:lvl>
    <w:lvl w:ilvl="4">
      <w:start w:val="1"/>
      <w:numFmt w:val="bullet"/>
      <w:lvlText w:val="◦"/>
      <w:lvlJc w:val="left"/>
      <w:pPr>
        <w:tabs>
          <w:tab w:val="num" w:pos="2272"/>
        </w:tabs>
        <w:ind w:left="2272" w:hanging="360"/>
      </w:pPr>
      <w:rPr>
        <w:rFonts w:ascii="OpenSymbol" w:hAnsi="OpenSymbol" w:cs="OpenSymbol" w:hint="default"/>
        <w:rFonts w:cs="OpenSymbol"/>
      </w:rPr>
    </w:lvl>
    <w:lvl w:ilvl="5">
      <w:start w:val="1"/>
      <w:numFmt w:val="bullet"/>
      <w:lvlText w:val="▪"/>
      <w:lvlJc w:val="left"/>
      <w:pPr>
        <w:tabs>
          <w:tab w:val="num" w:pos="2632"/>
        </w:tabs>
        <w:ind w:left="2632" w:hanging="360"/>
      </w:pPr>
      <w:rPr>
        <w:rFonts w:ascii="OpenSymbol" w:hAnsi="OpenSymbol" w:cs="OpenSymbol" w:hint="default"/>
        <w:rFonts w:cs="OpenSymbol"/>
      </w:rPr>
    </w:lvl>
    <w:lvl w:ilvl="6">
      <w:start w:val="1"/>
      <w:numFmt w:val="bullet"/>
      <w:lvlText w:val=""/>
      <w:lvlJc w:val="left"/>
      <w:pPr>
        <w:tabs>
          <w:tab w:val="num" w:pos="2992"/>
        </w:tabs>
        <w:ind w:left="2992" w:hanging="360"/>
      </w:pPr>
      <w:rPr>
        <w:rFonts w:ascii="Symbol" w:hAnsi="Symbol" w:cs="Symbol" w:hint="default"/>
        <w:rFonts w:cs="OpenSymbol"/>
      </w:rPr>
    </w:lvl>
    <w:lvl w:ilvl="7">
      <w:start w:val="1"/>
      <w:numFmt w:val="bullet"/>
      <w:lvlText w:val="◦"/>
      <w:lvlJc w:val="left"/>
      <w:pPr>
        <w:tabs>
          <w:tab w:val="num" w:pos="3352"/>
        </w:tabs>
        <w:ind w:left="3352" w:hanging="360"/>
      </w:pPr>
      <w:rPr>
        <w:rFonts w:ascii="OpenSymbol" w:hAnsi="OpenSymbol" w:cs="OpenSymbol" w:hint="default"/>
        <w:rFonts w:cs="OpenSymbol"/>
      </w:rPr>
    </w:lvl>
    <w:lvl w:ilvl="8">
      <w:start w:val="1"/>
      <w:numFmt w:val="bullet"/>
      <w:lvlText w:val="▪"/>
      <w:lvlJc w:val="left"/>
      <w:pPr>
        <w:tabs>
          <w:tab w:val="num" w:pos="3712"/>
        </w:tabs>
        <w:ind w:left="3712" w:hanging="360"/>
      </w:pPr>
      <w:rPr>
        <w:rFonts w:ascii="OpenSymbol" w:hAnsi="OpenSymbol" w:cs="OpenSymbol" w:hint="default"/>
        <w:rFonts w:cs="OpenSymbol"/>
      </w:rPr>
    </w:lvl>
  </w:abstractNum>
  <w:abstractNum w:abstractNumId="12">
    <w:lvl w:ilvl="0">
      <w:start w:val="1"/>
      <w:numFmt w:val="bullet"/>
      <w:lvlText w:val=""/>
      <w:lvlJc w:val="left"/>
      <w:pPr>
        <w:tabs>
          <w:tab w:val="num" w:pos="916"/>
        </w:tabs>
        <w:ind w:left="916" w:hanging="360"/>
      </w:pPr>
      <w:rPr>
        <w:rFonts w:ascii="Symbol" w:hAnsi="Symbol" w:cs="Symbol" w:hint="default"/>
        <w:rFonts w:cs="OpenSymbol"/>
      </w:rPr>
    </w:lvl>
    <w:lvl w:ilvl="1">
      <w:start w:val="1"/>
      <w:numFmt w:val="bullet"/>
      <w:lvlText w:val="◦"/>
      <w:lvlJc w:val="left"/>
      <w:pPr>
        <w:tabs>
          <w:tab w:val="num" w:pos="1276"/>
        </w:tabs>
        <w:ind w:left="1276" w:hanging="360"/>
      </w:pPr>
      <w:rPr>
        <w:rFonts w:ascii="OpenSymbol" w:hAnsi="OpenSymbol" w:cs="OpenSymbol" w:hint="default"/>
        <w:rFonts w:cs="OpenSymbol"/>
      </w:rPr>
    </w:lvl>
    <w:lvl w:ilvl="2">
      <w:start w:val="1"/>
      <w:numFmt w:val="bullet"/>
      <w:lvlText w:val="▪"/>
      <w:lvlJc w:val="left"/>
      <w:pPr>
        <w:tabs>
          <w:tab w:val="num" w:pos="1636"/>
        </w:tabs>
        <w:ind w:left="1636" w:hanging="360"/>
      </w:pPr>
      <w:rPr>
        <w:rFonts w:ascii="OpenSymbol" w:hAnsi="OpenSymbol" w:cs="OpenSymbol" w:hint="default"/>
        <w:rFonts w:cs="OpenSymbol"/>
      </w:rPr>
    </w:lvl>
    <w:lvl w:ilvl="3">
      <w:start w:val="1"/>
      <w:numFmt w:val="bullet"/>
      <w:lvlText w:val=""/>
      <w:lvlJc w:val="left"/>
      <w:pPr>
        <w:tabs>
          <w:tab w:val="num" w:pos="1996"/>
        </w:tabs>
        <w:ind w:left="1996" w:hanging="360"/>
      </w:pPr>
      <w:rPr>
        <w:rFonts w:ascii="Symbol" w:hAnsi="Symbol" w:cs="Symbol" w:hint="default"/>
        <w:rFonts w:cs="OpenSymbol"/>
      </w:rPr>
    </w:lvl>
    <w:lvl w:ilvl="4">
      <w:start w:val="1"/>
      <w:numFmt w:val="bullet"/>
      <w:lvlText w:val="◦"/>
      <w:lvlJc w:val="left"/>
      <w:pPr>
        <w:tabs>
          <w:tab w:val="num" w:pos="2356"/>
        </w:tabs>
        <w:ind w:left="2356" w:hanging="360"/>
      </w:pPr>
      <w:rPr>
        <w:rFonts w:ascii="OpenSymbol" w:hAnsi="OpenSymbol" w:cs="OpenSymbol" w:hint="default"/>
        <w:rFonts w:cs="OpenSymbol"/>
      </w:rPr>
    </w:lvl>
    <w:lvl w:ilvl="5">
      <w:start w:val="1"/>
      <w:numFmt w:val="bullet"/>
      <w:lvlText w:val="▪"/>
      <w:lvlJc w:val="left"/>
      <w:pPr>
        <w:tabs>
          <w:tab w:val="num" w:pos="2716"/>
        </w:tabs>
        <w:ind w:left="2716" w:hanging="360"/>
      </w:pPr>
      <w:rPr>
        <w:rFonts w:ascii="OpenSymbol" w:hAnsi="OpenSymbol" w:cs="OpenSymbol" w:hint="default"/>
        <w:rFonts w:cs="OpenSymbol"/>
      </w:rPr>
    </w:lvl>
    <w:lvl w:ilvl="6">
      <w:start w:val="1"/>
      <w:numFmt w:val="bullet"/>
      <w:lvlText w:val=""/>
      <w:lvlJc w:val="left"/>
      <w:pPr>
        <w:tabs>
          <w:tab w:val="num" w:pos="3076"/>
        </w:tabs>
        <w:ind w:left="3076" w:hanging="360"/>
      </w:pPr>
      <w:rPr>
        <w:rFonts w:ascii="Symbol" w:hAnsi="Symbol" w:cs="Symbol" w:hint="default"/>
        <w:rFonts w:cs="OpenSymbol"/>
      </w:rPr>
    </w:lvl>
    <w:lvl w:ilvl="7">
      <w:start w:val="1"/>
      <w:numFmt w:val="bullet"/>
      <w:lvlText w:val="◦"/>
      <w:lvlJc w:val="left"/>
      <w:pPr>
        <w:tabs>
          <w:tab w:val="num" w:pos="3436"/>
        </w:tabs>
        <w:ind w:left="3436" w:hanging="360"/>
      </w:pPr>
      <w:rPr>
        <w:rFonts w:ascii="OpenSymbol" w:hAnsi="OpenSymbol" w:cs="OpenSymbol" w:hint="default"/>
        <w:rFonts w:cs="OpenSymbol"/>
      </w:rPr>
    </w:lvl>
    <w:lvl w:ilvl="8">
      <w:start w:val="1"/>
      <w:numFmt w:val="bullet"/>
      <w:lvlText w:val="▪"/>
      <w:lvlJc w:val="left"/>
      <w:pPr>
        <w:tabs>
          <w:tab w:val="num" w:pos="3796"/>
        </w:tabs>
        <w:ind w:left="3796" w:hanging="360"/>
      </w:pPr>
      <w:rPr>
        <w:rFonts w:ascii="OpenSymbol" w:hAnsi="OpenSymbol" w:cs="OpenSymbol" w:hint="default"/>
        <w:rFonts w:cs="OpenSymbol"/>
      </w:rPr>
    </w:lvl>
  </w:abstractNum>
  <w:abstractNum w:abstractNumId="13">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4">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semiHidden="1" w:unhideWhenUsed="1" w:qFormat="1"/>
    <w:lsdException w:name="heading 3" w:locked="1" w:uiPriority="9" w:semiHidden="1" w:unhideWhenUsed="1" w:qFormat="1"/>
    <w:lsdException w:name="heading 4" w:locked="1" w:uiPriority="9" w:semiHidden="1" w:unhideWhenUsed="1" w:qFormat="1"/>
    <w:lsdException w:name="heading 5" w:locked="1" w:uiPriority="9" w:semiHidden="1" w:unhideWhenUsed="1" w:qFormat="1"/>
    <w:lsdException w:name="heading 6" w:locked="1" w:uiPriority="9" w:semiHidden="1" w:unhideWhenUsed="1" w:qFormat="1"/>
    <w:lsdException w:name="heading 7" w:locked="1" w:uiPriority="9" w:semiHidden="1" w:unhideWhenUsed="1" w:qFormat="1"/>
    <w:lsdException w:name="heading 8" w:locked="1" w:uiPriority="9" w:semiHidden="1" w:unhideWhenUsed="1" w:qFormat="1"/>
    <w:lsdException w:name="heading 9" w:locked="1" w:uiPriority="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Times New Roman"/>
      <w:color w:val="auto"/>
      <w:kern w:val="0"/>
      <w:sz w:val="22"/>
      <w:szCs w:val="22"/>
      <w:lang w:eastAsia="en-US" w:val="pl-PL" w:bidi="ar-SA"/>
    </w:rPr>
  </w:style>
  <w:style w:type="character" w:styleId="DefaultParagraphFont" w:default="1">
    <w:name w:val="Default Paragraph Font"/>
    <w:uiPriority w:val="1"/>
    <w:semiHidden/>
    <w:unhideWhenUsed/>
    <w:qFormat/>
    <w:rPr/>
  </w:style>
  <w:style w:type="character" w:styleId="TekstdymkaZnak" w:customStyle="1">
    <w:name w:val="Tekst dymka Znak"/>
    <w:link w:val="Tekstdymka"/>
    <w:uiPriority w:val="99"/>
    <w:semiHidden/>
    <w:qFormat/>
    <w:locked/>
    <w:rsid w:val="009572ff"/>
    <w:rPr>
      <w:rFonts w:ascii="Segoe UI" w:hAnsi="Segoe UI"/>
      <w:sz w:val="18"/>
    </w:rPr>
  </w:style>
  <w:style w:type="character" w:styleId="Linenumber">
    <w:name w:val="line number"/>
    <w:basedOn w:val="DefaultParagraphFont"/>
    <w:uiPriority w:val="99"/>
    <w:semiHidden/>
    <w:unhideWhenUsed/>
    <w:qFormat/>
    <w:locked/>
    <w:rsid w:val="00ad6ebb"/>
    <w:rPr/>
  </w:style>
  <w:style w:type="character" w:styleId="ListLabel1">
    <w:name w:val="ListLabel 1"/>
    <w:qFormat/>
    <w:rPr>
      <w:rFonts w:ascii="Arial Narrow" w:hAnsi="Arial Narrow" w:eastAsia="Times New Roman"/>
    </w:rPr>
  </w:style>
  <w:style w:type="character" w:styleId="ListLabel2">
    <w:name w:val="ListLabel 2"/>
    <w:qFormat/>
    <w:rPr>
      <w:rFonts w:ascii="Arial Narrow" w:hAnsi="Arial Narrow" w:eastAsia="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99"/>
    <w:qFormat/>
    <w:rsid w:val="008219e0"/>
    <w:pPr>
      <w:spacing w:before="0" w:after="160"/>
      <w:ind w:left="720" w:hanging="0"/>
      <w:contextualSpacing/>
    </w:pPr>
    <w:rPr/>
  </w:style>
  <w:style w:type="paragraph" w:styleId="BalloonText">
    <w:name w:val="Balloon Text"/>
    <w:basedOn w:val="Normal"/>
    <w:link w:val="TekstdymkaZnak"/>
    <w:uiPriority w:val="99"/>
    <w:semiHidden/>
    <w:qFormat/>
    <w:rsid w:val="009572f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99"/>
    <w:rsid w:val="00891a6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Application>LibreOffice/6.2.3.2$Windows_x86 LibreOffice_project/aecc05fe267cc68dde00352a451aa867b3b546ac</Application>
  <Pages>11</Pages>
  <Words>3424</Words>
  <Characters>22003</Characters>
  <CharactersWithSpaces>25786</CharactersWithSpaces>
  <Paragraphs>451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2021-02-15T12:52:00Z</dcterms:created>
  <dc:creator>Anna Jóźwiak</dc:creator>
  <dc:description/>
  <cp:keywords>Informacja dodatkowa</cp:keywords>
  <dc:language>pl-PL</dc:language>
  <cp:lastModifiedBy/>
  <cp:lastPrinted>2024-03-15T09:01:00Z</cp:lastPrinted>
  <dcterms:modified xsi:type="dcterms:W3CDTF">2025-05-05T11:47:40Z</dcterms:modified>
  <cp:revision>86</cp:revision>
  <dc:subject/>
  <dc:title>CKZIU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