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W w:w="15352" w:type="dxa"/>
        <w:jc w:val="left"/>
        <w:tblInd w:w="0" w:type="dxa"/>
        <w:tblCellMar>
          <w:top w:w="0" w:type="dxa"/>
          <w:left w:w="108" w:type="dxa"/>
          <w:bottom w:w="0" w:type="dxa"/>
          <w:right w:w="108" w:type="dxa"/>
        </w:tblCellMar>
        <w:tblLook w:firstRow="1" w:noVBand="0" w:lastRow="0" w:firstColumn="1" w:lastColumn="0" w:noHBand="0" w:val="00a0"/>
      </w:tblPr>
      <w:tblGrid>
        <w:gridCol w:w="532"/>
        <w:gridCol w:w="14819"/>
      </w:tblGrid>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Zespół Szkół Samochodowych</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Leśna 1A   87-800 Włocławek</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Leśna 1A  87-800 Włocławek</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1.4</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TimesNewRomanPSMT"/>
                <w:sz w:val="24"/>
                <w:szCs w:val="24"/>
              </w:rPr>
            </w:pPr>
            <w:r>
              <w:rPr>
                <w:rFonts w:cs="TimesNewRomanPSMT" w:ascii="Arial" w:hAnsi="Arial"/>
                <w:color w:val="auto"/>
                <w:sz w:val="24"/>
                <w:szCs w:val="24"/>
              </w:rPr>
              <w:t>Podstawę prawną działalności Zespołu Szkół Samochodowych stanowi ustawa z dnia 14 grudnia 2016 r. Prawo</w:t>
            </w:r>
          </w:p>
          <w:p>
            <w:pPr>
              <w:pStyle w:val="Normal"/>
              <w:spacing w:lineRule="auto" w:line="240" w:before="0" w:after="0"/>
              <w:rPr>
                <w:rFonts w:ascii="Arial" w:hAnsi="Arial"/>
                <w:color w:val="auto"/>
                <w:sz w:val="24"/>
                <w:szCs w:val="24"/>
              </w:rPr>
            </w:pPr>
            <w:r>
              <w:rPr>
                <w:rFonts w:cs="TimesNewRomanPSMT" w:ascii="Arial" w:hAnsi="Arial"/>
                <w:color w:val="auto"/>
                <w:sz w:val="24"/>
                <w:szCs w:val="24"/>
              </w:rPr>
              <w:t>Oświatowe (tekst jednolity Dz.U. z 2017 r. poz. 59) oraz wydane do niej przepisy wykonawcze oraz Statut Zespołu Szkół Samochodowych.</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2024 - 31 grudnia 2024</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4.</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rPr>
            </w:pPr>
            <w:r>
              <w:rPr>
                <w:rFonts w:cs="Calibri"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cs="Calibri"/>
                <w:lang w:eastAsia="pl-PL"/>
              </w:rPr>
            </w:pPr>
            <w:r>
              <w:rPr>
                <w:rFonts w:cs="Calibri"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cs="Calibri"/>
                <w:lang w:eastAsia="pl-PL"/>
              </w:rPr>
            </w:pPr>
            <w:r>
              <w:rPr>
                <w:rFonts w:cs="Calibri" w:ascii="Arial" w:hAnsi="Arial"/>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rPr>
            </w:pPr>
            <w:r>
              <w:rPr>
                <w:rFonts w:cs="Calibri" w:ascii="Arial" w:hAnsi="Arial"/>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rPr>
            </w:pPr>
            <w:r>
              <w:rPr>
                <w:rFonts w:cs="Calibri" w:ascii="Arial" w:hAnsi="Arial"/>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Książki i inne zbiory biblioteczne.</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 xml:space="preserve">Środki dydaktyczne służące procesowi dydaktyczno-wychowawczemu realizowanemu w szkołach i placówkach oświatowych. </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olor w:val="auto"/>
                <w:sz w:val="24"/>
                <w:szCs w:val="24"/>
              </w:rPr>
              <w:t>P</w:t>
            </w:r>
            <w:r>
              <w:rPr>
                <w:rFonts w:cs="Calibri" w:ascii="Arial" w:hAnsi="Arial"/>
                <w:color w:val="auto"/>
                <w:sz w:val="24"/>
                <w:szCs w:val="24"/>
              </w:rPr>
              <w:t>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wykaz składników aktywów i pasywów (inwentarz).</w:t>
            </w:r>
          </w:p>
          <w:p>
            <w:pPr>
              <w:pStyle w:val="Normal"/>
              <w:spacing w:lineRule="auto" w:line="240" w:before="0" w:after="0"/>
              <w:jc w:val="both"/>
              <w:rPr>
                <w:rFonts w:ascii="Arial Narrow" w:hAnsi="Arial Narrow" w:cs="Calibri"/>
              </w:rPr>
            </w:pPr>
            <w:r>
              <w:rPr>
                <w:rFonts w:cs="Calibri"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rPr>
            </w:pPr>
            <w:r>
              <w:rPr>
                <w:rFonts w:cs="Calibri"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Zakup części samochodowych ewidencjonuje się na koncie 310 „Materiały”, do którego prowadzona jest ewidencja analityczna. Pracownik jednostki obsługiwanej sporządza zestawienia miesięczne,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Narrow" w:hAnsi="Arial Narrow" w:cs="Calibri"/>
              </w:rPr>
            </w:pPr>
            <w:r>
              <w:rPr>
                <w:rFonts w:cs="Calibri" w:ascii="Arial" w:hAnsi="Arial"/>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rPr>
            </w:pPr>
            <w:r>
              <w:rPr>
                <w:rFonts w:cs="Calibri" w:ascii="Arial" w:hAnsi="Arial"/>
                <w:color w:val="auto"/>
                <w:sz w:val="24"/>
                <w:szCs w:val="24"/>
              </w:rPr>
              <w:t>różne opłaty (sądowe itp.),</w:t>
            </w:r>
          </w:p>
          <w:p>
            <w:pPr>
              <w:pStyle w:val="Normal"/>
              <w:numPr>
                <w:ilvl w:val="0"/>
                <w:numId w:val="2"/>
              </w:numPr>
              <w:spacing w:lineRule="auto" w:line="240" w:before="0" w:after="0"/>
              <w:jc w:val="both"/>
              <w:rPr>
                <w:rFonts w:ascii="Arial Narrow" w:hAnsi="Arial Narrow" w:cs="Calibri"/>
              </w:rPr>
            </w:pPr>
            <w:r>
              <w:rPr>
                <w:rFonts w:cs="Calibri" w:ascii="Arial" w:hAnsi="Arial"/>
                <w:color w:val="auto"/>
                <w:sz w:val="24"/>
                <w:szCs w:val="24"/>
              </w:rPr>
              <w:t>pokwitowania za parkingi</w:t>
            </w:r>
          </w:p>
          <w:p>
            <w:pPr>
              <w:pStyle w:val="Normal"/>
              <w:numPr>
                <w:ilvl w:val="0"/>
                <w:numId w:val="2"/>
              </w:numPr>
              <w:spacing w:lineRule="auto" w:line="240" w:before="0" w:after="0"/>
              <w:jc w:val="both"/>
              <w:rPr>
                <w:rFonts w:ascii="Arial Narrow" w:hAnsi="Arial Narrow" w:cs="Calibri"/>
              </w:rPr>
            </w:pPr>
            <w:r>
              <w:rPr>
                <w:rFonts w:cs="Calibri" w:ascii="Arial" w:hAnsi="Arial"/>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rPr>
            </w:pPr>
            <w:r>
              <w:rPr>
                <w:rFonts w:cs="Calibri" w:ascii="Arial" w:hAnsi="Arial"/>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rPr>
            </w:pPr>
            <w:r>
              <w:rPr>
                <w:rFonts w:cs="Calibri" w:ascii="Arial" w:hAnsi="Arial"/>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rPr>
            </w:pPr>
            <w:r>
              <w:rPr>
                <w:rFonts w:cs="Calibri" w:ascii="Arial" w:hAnsi="Arial"/>
                <w:color w:val="auto"/>
                <w:sz w:val="24"/>
                <w:szCs w:val="24"/>
              </w:rPr>
              <w:t>pokwitowanie za listy polecone,</w:t>
            </w:r>
          </w:p>
          <w:p>
            <w:pPr>
              <w:pStyle w:val="Normal"/>
              <w:numPr>
                <w:ilvl w:val="0"/>
                <w:numId w:val="1"/>
              </w:numPr>
              <w:spacing w:lineRule="auto" w:line="240" w:before="0" w:after="0"/>
              <w:jc w:val="both"/>
              <w:rPr>
                <w:rFonts w:ascii="Arial Narrow" w:hAnsi="Arial Narrow" w:cs="Calibri"/>
              </w:rPr>
            </w:pPr>
            <w:r>
              <w:rPr>
                <w:rFonts w:cs="Calibri" w:ascii="Arial" w:hAnsi="Arial"/>
                <w:color w:val="auto"/>
                <w:sz w:val="24"/>
                <w:szCs w:val="24"/>
              </w:rPr>
              <w:t>podatek od nieruchomości,</w:t>
            </w:r>
          </w:p>
          <w:p>
            <w:pPr>
              <w:pStyle w:val="Normal"/>
              <w:numPr>
                <w:ilvl w:val="0"/>
                <w:numId w:val="1"/>
              </w:numPr>
              <w:spacing w:lineRule="auto" w:line="240" w:before="0" w:after="0"/>
              <w:jc w:val="both"/>
              <w:rPr>
                <w:rFonts w:ascii="Arial Narrow" w:hAnsi="Arial Narrow" w:cs="Calibri"/>
              </w:rPr>
            </w:pPr>
            <w:r>
              <w:rPr>
                <w:rFonts w:cs="Calibri" w:ascii="Arial" w:hAnsi="Arial"/>
                <w:color w:val="auto"/>
                <w:sz w:val="24"/>
                <w:szCs w:val="24"/>
              </w:rPr>
              <w:t>podatek od środków transportu,</w:t>
            </w:r>
          </w:p>
          <w:p>
            <w:pPr>
              <w:pStyle w:val="Normal"/>
              <w:numPr>
                <w:ilvl w:val="0"/>
                <w:numId w:val="1"/>
              </w:numPr>
              <w:spacing w:lineRule="auto" w:line="240" w:before="0" w:after="0"/>
              <w:jc w:val="both"/>
              <w:rPr>
                <w:rFonts w:ascii="Arial Narrow" w:hAnsi="Arial Narrow" w:cs="Calibri"/>
              </w:rPr>
            </w:pPr>
            <w:r>
              <w:rPr>
                <w:rFonts w:cs="Calibri" w:ascii="Arial" w:hAnsi="Arial"/>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rPr>
            </w:pPr>
            <w:r>
              <w:rPr>
                <w:rFonts w:cs="Calibri" w:ascii="Arial" w:hAnsi="Arial"/>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b/>
                <w:b/>
              </w:rPr>
            </w:pPr>
            <w:r>
              <w:rPr>
                <w:rFonts w:cs="Calibri" w:ascii="Arial" w:hAnsi="Arial"/>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0"/>
              <w:contextualSpacing/>
              <w:jc w:val="both"/>
              <w:rPr>
                <w:rFonts w:ascii="Arial" w:hAnsi="Arial"/>
                <w:color w:val="auto"/>
                <w:sz w:val="24"/>
                <w:szCs w:val="24"/>
              </w:rPr>
            </w:pPr>
            <w:r>
              <w:rPr>
                <w:rFonts w:cs="Calibri"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0"/>
              <w:contextualSpacing/>
              <w:jc w:val="both"/>
              <w:rPr>
                <w:rFonts w:ascii="Arial" w:hAnsi="Arial"/>
                <w:color w:val="auto"/>
                <w:sz w:val="24"/>
                <w:szCs w:val="24"/>
              </w:rPr>
            </w:pPr>
            <w:r>
              <w:rPr>
                <w:rFonts w:cs="Calibri"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jc w:val="both"/>
              <w:rPr>
                <w:rFonts w:ascii="Arial" w:hAnsi="Arial"/>
                <w:color w:val="auto"/>
                <w:sz w:val="24"/>
                <w:szCs w:val="24"/>
              </w:rPr>
            </w:pPr>
            <w:r>
              <w:rPr>
                <w:rFonts w:cs="Calibri" w:ascii="Arial" w:hAnsi="Arial"/>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olor w:val="auto"/>
                <w:sz w:val="24"/>
                <w:szCs w:val="24"/>
              </w:rPr>
              <w:t>Rozliczenia z tytułu VAT.</w:t>
            </w:r>
          </w:p>
          <w:p>
            <w:pPr>
              <w:pStyle w:val="Normal"/>
              <w:numPr>
                <w:ilvl w:val="0"/>
                <w:numId w:val="17"/>
              </w:numPr>
              <w:spacing w:lineRule="auto" w:line="240" w:before="0" w:after="0"/>
              <w:jc w:val="both"/>
              <w:rPr>
                <w:rFonts w:ascii="Arial" w:hAnsi="Arial"/>
                <w:color w:val="auto"/>
                <w:sz w:val="24"/>
                <w:szCs w:val="24"/>
              </w:rPr>
            </w:pPr>
            <w:r>
              <w:rPr>
                <w:rFonts w:cs="Calibri" w:ascii="Arial" w:hAnsi="Arial"/>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 W sprawie rozliczenia podatku VAT metodą podzielonej płatności obowiązuje Zarządzenie nr 449/2019 Prezydenta Miasta Włocławek z dnia 31 października 2019 r.</w:t>
            </w:r>
          </w:p>
          <w:p>
            <w:pPr>
              <w:pStyle w:val="Normal"/>
              <w:spacing w:lineRule="auto" w:line="240" w:before="0" w:after="0"/>
              <w:jc w:val="both"/>
              <w:rPr>
                <w:rFonts w:ascii="Arial" w:hAnsi="Arial"/>
                <w:color w:val="auto"/>
                <w:sz w:val="24"/>
                <w:szCs w:val="24"/>
              </w:rPr>
            </w:pPr>
            <w:r>
              <w:rPr>
                <w:rFonts w:cs="Calibri" w:ascii="Arial" w:hAnsi="Arial"/>
                <w:color w:val="auto"/>
                <w:sz w:val="24"/>
                <w:szCs w:val="24"/>
              </w:rPr>
              <w:t>W celu realizacji MPP (Mechanizm Podzielonej Płatności)</w:t>
            </w:r>
            <w:r>
              <w:rPr>
                <w:rFonts w:cs="Calibri" w:ascii="Arial" w:hAnsi="Arial"/>
                <w:b/>
                <w:color w:val="auto"/>
                <w:sz w:val="24"/>
                <w:szCs w:val="24"/>
              </w:rPr>
              <w:t xml:space="preserve"> </w:t>
            </w:r>
            <w:r>
              <w:rPr>
                <w:rFonts w:cs="Calibri" w:ascii="Arial" w:hAnsi="Arial"/>
                <w:color w:val="auto"/>
                <w:sz w:val="24"/>
                <w:szCs w:val="24"/>
              </w:rPr>
              <w:t xml:space="preserve">wydzielono w księgach rachunkowych dodatkowe konta analityczne " VAT". </w:t>
            </w:r>
          </w:p>
          <w:p>
            <w:pPr>
              <w:pStyle w:val="Normal"/>
              <w:numPr>
                <w:ilvl w:val="0"/>
                <w:numId w:val="18"/>
              </w:numPr>
              <w:spacing w:lineRule="auto" w:line="240" w:before="0" w:after="0"/>
              <w:jc w:val="both"/>
              <w:rPr>
                <w:rFonts w:ascii="Arial" w:hAnsi="Arial"/>
                <w:color w:val="auto"/>
                <w:sz w:val="24"/>
                <w:szCs w:val="24"/>
              </w:rPr>
            </w:pPr>
            <w:r>
              <w:rPr>
                <w:rFonts w:cs="Calibri" w:ascii="Arial" w:hAnsi="Arial"/>
                <w:bCs/>
                <w:color w:val="auto"/>
                <w:sz w:val="24"/>
                <w:szCs w:val="24"/>
              </w:rPr>
              <w:t>Sprawozdawczość finansowa:</w:t>
            </w:r>
          </w:p>
          <w:p>
            <w:pPr>
              <w:pStyle w:val="Normal"/>
              <w:numPr>
                <w:ilvl w:val="0"/>
                <w:numId w:val="19"/>
              </w:numPr>
              <w:spacing w:lineRule="auto" w:line="240" w:before="0" w:after="0"/>
              <w:jc w:val="both"/>
              <w:rPr>
                <w:rFonts w:ascii="Arial" w:hAnsi="Arial"/>
                <w:color w:val="auto"/>
                <w:sz w:val="24"/>
                <w:szCs w:val="24"/>
              </w:rPr>
            </w:pPr>
            <w:r>
              <w:rPr>
                <w:rFonts w:cs="Calibri"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color w:val="auto"/>
                <w:sz w:val="24"/>
                <w:szCs w:val="24"/>
              </w:rPr>
            </w:pPr>
            <w:r>
              <w:rPr>
                <w:rFonts w:cs="Calibri" w:ascii="Arial" w:hAnsi="Arial"/>
                <w:bCs/>
                <w:iCs/>
                <w:color w:val="auto"/>
                <w:sz w:val="24"/>
                <w:szCs w:val="24"/>
              </w:rPr>
              <w:t>Księgi rachunkowe prowadzi się techniką komputerową wg następującego oprogramowania:</w:t>
            </w:r>
          </w:p>
          <w:p>
            <w:pPr>
              <w:pStyle w:val="Normal"/>
              <w:numPr>
                <w:ilvl w:val="0"/>
                <w:numId w:val="21"/>
              </w:numPr>
              <w:spacing w:lineRule="auto" w:line="240" w:before="0" w:after="0"/>
              <w:jc w:val="both"/>
              <w:rPr>
                <w:rFonts w:ascii="Arial" w:hAnsi="Arial"/>
                <w:color w:val="auto"/>
                <w:sz w:val="24"/>
                <w:szCs w:val="24"/>
              </w:rPr>
            </w:pPr>
            <w:r>
              <w:rPr>
                <w:rFonts w:cs="Calibri" w:ascii="Arial" w:hAnsi="Arial"/>
                <w:color w:val="auto"/>
                <w:sz w:val="24"/>
                <w:szCs w:val="24"/>
              </w:rPr>
              <w:t xml:space="preserve">Vulcan aplikacja Finanse VULCAN wersja zgodna z aktualizacjami programu - firma Vulcan Sp. z o.o. ul. Wołowska 6, 51-116 Wrocław. Administratorem platformy systemu Vulcan jest Gmina Miasto Włocławek. </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5.</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b/>
                <w:b/>
                <w:sz w:val="20"/>
                <w:szCs w:val="20"/>
              </w:rPr>
            </w:pPr>
            <w:r>
              <w:rPr>
                <w:rFonts w:cs="Calibri" w:ascii="Arial" w:hAnsi="Arial"/>
                <w:b/>
                <w:color w:val="auto"/>
                <w:sz w:val="24"/>
                <w:szCs w:val="24"/>
              </w:rPr>
              <w:t>II.</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color w:val="auto"/>
                <w:sz w:val="24"/>
                <w:szCs w:val="24"/>
              </w:rPr>
            </w:pPr>
            <w:r>
              <w:rPr>
                <w:rFonts w:ascii="Arial" w:hAnsi="Arial"/>
                <w:color w:val="auto"/>
                <w:sz w:val="24"/>
                <w:szCs w:val="24"/>
              </w:rPr>
            </w:r>
          </w:p>
          <w:tbl>
            <w:tblPr>
              <w:tblW w:w="18293" w:type="dxa"/>
              <w:jc w:val="left"/>
              <w:tblInd w:w="175" w:type="dxa"/>
              <w:tblCellMar>
                <w:top w:w="0" w:type="dxa"/>
                <w:left w:w="70" w:type="dxa"/>
                <w:bottom w:w="0" w:type="dxa"/>
                <w:right w:w="70" w:type="dxa"/>
              </w:tblCellMar>
              <w:tblLook w:firstRow="1" w:noVBand="1" w:lastRow="0" w:firstColumn="1" w:lastColumn="0" w:noHBand="0" w:val="04a0"/>
            </w:tblPr>
            <w:tblGrid>
              <w:gridCol w:w="18293"/>
            </w:tblGrid>
            <w:tr>
              <w:trPr>
                <w:trHeight w:val="330" w:hRule="atLeast"/>
              </w:trPr>
              <w:tc>
                <w:tcPr>
                  <w:tcW w:w="18293"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ascii="Arial" w:hAnsi="Arial"/>
                      <w:b/>
                      <w:bCs/>
                      <w:color w:val="auto"/>
                      <w:sz w:val="24"/>
                      <w:szCs w:val="24"/>
                      <w:u w:val="single"/>
                      <w:lang w:eastAsia="pl-PL"/>
                    </w:rPr>
                    <w:t>Główne składniki aktywów trwałych  -</w:t>
                  </w:r>
                </w:p>
                <w:tbl>
                  <w:tblPr>
                    <w:tblW w:w="14560" w:type="dxa"/>
                    <w:jc w:val="left"/>
                    <w:tblInd w:w="0" w:type="dxa"/>
                    <w:tblCellMar>
                      <w:top w:w="0" w:type="dxa"/>
                      <w:left w:w="70" w:type="dxa"/>
                      <w:bottom w:w="0" w:type="dxa"/>
                      <w:right w:w="70" w:type="dxa"/>
                    </w:tblCellMar>
                    <w:tblLook w:firstRow="1" w:noVBand="1" w:lastRow="0" w:firstColumn="1" w:lastColumn="0" w:noHBand="0" w:val="04a0"/>
                  </w:tblPr>
                  <w:tblGrid>
                    <w:gridCol w:w="279"/>
                    <w:gridCol w:w="920"/>
                    <w:gridCol w:w="849"/>
                    <w:gridCol w:w="425"/>
                    <w:gridCol w:w="706"/>
                    <w:gridCol w:w="427"/>
                    <w:gridCol w:w="1"/>
                    <w:gridCol w:w="705"/>
                    <w:gridCol w:w="2"/>
                    <w:gridCol w:w="425"/>
                    <w:gridCol w:w="707"/>
                    <w:gridCol w:w="426"/>
                    <w:gridCol w:w="1"/>
                    <w:gridCol w:w="706"/>
                    <w:gridCol w:w="2"/>
                    <w:gridCol w:w="848"/>
                    <w:gridCol w:w="2"/>
                    <w:gridCol w:w="847"/>
                    <w:gridCol w:w="2"/>
                    <w:gridCol w:w="565"/>
                    <w:gridCol w:w="709"/>
                    <w:gridCol w:w="709"/>
                    <w:gridCol w:w="1"/>
                    <w:gridCol w:w="708"/>
                    <w:gridCol w:w="1"/>
                    <w:gridCol w:w="707"/>
                    <w:gridCol w:w="1"/>
                    <w:gridCol w:w="849"/>
                    <w:gridCol w:w="1"/>
                    <w:gridCol w:w="848"/>
                    <w:gridCol w:w="1177"/>
                  </w:tblGrid>
                  <w:tr>
                    <w:trPr>
                      <w:trHeight w:val="510" w:hRule="atLeast"/>
                    </w:trPr>
                    <w:tc>
                      <w:tcPr>
                        <w:tcW w:w="2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Lp.</w:t>
                        </w:r>
                      </w:p>
                    </w:tc>
                    <w:tc>
                      <w:tcPr>
                        <w:tcW w:w="92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Nazwa grupy rodzajowej składnika aktywów trwałych</w:t>
                        </w:r>
                      </w:p>
                    </w:tc>
                    <w:tc>
                      <w:tcPr>
                        <w:tcW w:w="8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Wartość poczatkowa - stan na poczatek roku obrotowego</w:t>
                        </w:r>
                      </w:p>
                    </w:tc>
                    <w:tc>
                      <w:tcPr>
                        <w:tcW w:w="155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Zwiększenie wartości poczatkowej</w:t>
                        </w:r>
                      </w:p>
                    </w:tc>
                    <w:tc>
                      <w:tcPr>
                        <w:tcW w:w="70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Ogółem zwiększenie wartości początkowej (4+5+6)</w:t>
                        </w:r>
                      </w:p>
                    </w:tc>
                    <w:tc>
                      <w:tcPr>
                        <w:tcW w:w="155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Zmniejszenie wartości początkowej</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Ogółem zmniejszenie wartości poczatkowej                                                                                                                              (8+9+10)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Wartość poczatkowa - stan na koniec roku obrotowego                                                                                                                                           (3+7-11)</w:t>
                        </w:r>
                      </w:p>
                    </w:tc>
                    <w:tc>
                      <w:tcPr>
                        <w:tcW w:w="84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Umorzenie - stan na początek roku obrotowego</w:t>
                        </w:r>
                      </w:p>
                    </w:tc>
                    <w:tc>
                      <w:tcPr>
                        <w:tcW w:w="198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Zwiększenia w ciągu roku obrotowego</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Ogółem zwiększenie umorzenia (14+15+16)</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Zmniejszenie umorzenia</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Umorzenie - stan na koniec roku obrotowego                                                                                                 (13+17-18)</w:t>
                        </w:r>
                      </w:p>
                    </w:tc>
                    <w:tc>
                      <w:tcPr>
                        <w:tcW w:w="202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Wartość netto składników aktywów</w:t>
                        </w:r>
                      </w:p>
                    </w:tc>
                  </w:tr>
                  <w:tr>
                    <w:trPr>
                      <w:trHeight w:val="1695" w:hRule="atLeast"/>
                    </w:trPr>
                    <w:tc>
                      <w:tcPr>
                        <w:tcW w:w="27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9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8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25"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Aktualizacja</w:t>
                        </w:r>
                      </w:p>
                    </w:tc>
                    <w:tc>
                      <w:tcPr>
                        <w:tcW w:w="706"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Przychody</w:t>
                        </w:r>
                      </w:p>
                    </w:tc>
                    <w:tc>
                      <w:tcPr>
                        <w:tcW w:w="427"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Przemieszczenie</w:t>
                        </w:r>
                      </w:p>
                    </w:tc>
                    <w:tc>
                      <w:tcPr>
                        <w:tcW w:w="70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27" w:type="dxa"/>
                        <w:gridSpan w:val="2"/>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Zbycie</w:t>
                        </w:r>
                      </w:p>
                    </w:tc>
                    <w:tc>
                      <w:tcPr>
                        <w:tcW w:w="7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Likwidacja</w:t>
                        </w:r>
                      </w:p>
                    </w:tc>
                    <w:tc>
                      <w:tcPr>
                        <w:tcW w:w="426" w:type="dxa"/>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Inne</w:t>
                        </w:r>
                      </w:p>
                    </w:tc>
                    <w:tc>
                      <w:tcPr>
                        <w:tcW w:w="70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850"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84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567"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Aktualizacja</w:t>
                        </w:r>
                      </w:p>
                    </w:tc>
                    <w:tc>
                      <w:tcPr>
                        <w:tcW w:w="709"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Amortyzacja za rok obrotowy</w:t>
                        </w:r>
                      </w:p>
                    </w:tc>
                    <w:tc>
                      <w:tcPr>
                        <w:tcW w:w="709"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Inne</w:t>
                        </w:r>
                      </w:p>
                    </w:tc>
                    <w:tc>
                      <w:tcPr>
                        <w:tcW w:w="70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70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850"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Stan na poczatek roku obrotowego                                                                                                                                                                           (3-13)</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Stan na koniec roku obrotowego                                                                                                                                                                          (12-19)</w:t>
                        </w:r>
                      </w:p>
                    </w:tc>
                  </w:tr>
                  <w:tr>
                    <w:trPr>
                      <w:trHeight w:val="199"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w:t>
                        </w:r>
                      </w:p>
                    </w:tc>
                    <w:tc>
                      <w:tcPr>
                        <w:tcW w:w="92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2</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3</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4</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5</w:t>
                        </w:r>
                      </w:p>
                    </w:tc>
                    <w:tc>
                      <w:tcPr>
                        <w:tcW w:w="42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6</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7</w:t>
                        </w:r>
                      </w:p>
                    </w:tc>
                    <w:tc>
                      <w:tcPr>
                        <w:tcW w:w="427"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8</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9</w:t>
                        </w:r>
                      </w:p>
                    </w:tc>
                    <w:tc>
                      <w:tcPr>
                        <w:tcW w:w="42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11</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12</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13</w:t>
                        </w:r>
                      </w:p>
                    </w:tc>
                    <w:tc>
                      <w:tcPr>
                        <w:tcW w:w="567"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14</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15</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16</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17</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18</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19</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20</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2"/>
                            <w:szCs w:val="12"/>
                            <w:lang w:eastAsia="pl-PL"/>
                          </w:rPr>
                        </w:pPr>
                        <w:r>
                          <w:rPr>
                            <w:rFonts w:eastAsia="Times New Roman" w:ascii="Arial" w:hAnsi="Arial"/>
                            <w:i/>
                            <w:iCs/>
                            <w:color w:val="auto"/>
                            <w:sz w:val="24"/>
                            <w:szCs w:val="24"/>
                            <w:lang w:eastAsia="pl-PL"/>
                          </w:rPr>
                          <w:t>21</w:t>
                        </w:r>
                      </w:p>
                    </w:tc>
                  </w:tr>
                  <w:tr>
                    <w:trPr>
                      <w:trHeight w:val="720"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w:t>
                        </w:r>
                      </w:p>
                    </w:tc>
                    <w:tc>
                      <w:tcPr>
                        <w:tcW w:w="920"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Wartości niematerialne                          i prawne</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8 770,77</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10 051,40</w:t>
                        </w:r>
                      </w:p>
                    </w:tc>
                    <w:tc>
                      <w:tcPr>
                        <w:tcW w:w="42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10 051,40</w:t>
                        </w:r>
                      </w:p>
                    </w:tc>
                    <w:tc>
                      <w:tcPr>
                        <w:tcW w:w="4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18 822,17</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8 770,77</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10 051,40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10 051,40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18 822,17</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0,00</w:t>
                        </w:r>
                      </w:p>
                    </w:tc>
                  </w:tr>
                  <w:tr>
                    <w:trPr>
                      <w:trHeight w:val="540"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2.</w:t>
                        </w:r>
                      </w:p>
                    </w:tc>
                    <w:tc>
                      <w:tcPr>
                        <w:tcW w:w="920"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Środki trwałe</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28 933 469,23</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42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4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10 980,00</w:t>
                        </w:r>
                      </w:p>
                    </w:tc>
                    <w:tc>
                      <w:tcPr>
                        <w:tcW w:w="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10 980,00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28 922 489,23</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14 163 749,04</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441 782,76</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441 782,76</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10 980,00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14 594 551,80</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14 769 720,19</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14 327 937,43</w:t>
                        </w:r>
                      </w:p>
                    </w:tc>
                  </w:tr>
                  <w:tr>
                    <w:trPr>
                      <w:trHeight w:val="405"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1)</w:t>
                        </w:r>
                      </w:p>
                    </w:tc>
                    <w:tc>
                      <w:tcPr>
                        <w:tcW w:w="920"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grunty</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6 472 300,00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6 472 300,00</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0,00 </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0,00 </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0,00 </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0,00 </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0,00 </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6 472 300,00</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6 472 300,00</w:t>
                        </w:r>
                      </w:p>
                    </w:tc>
                  </w:tr>
                  <w:tr>
                    <w:trPr>
                      <w:trHeight w:val="720"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2)</w:t>
                        </w:r>
                      </w:p>
                    </w:tc>
                    <w:tc>
                      <w:tcPr>
                        <w:tcW w:w="920"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budynki, lokale i obiekty inżynierii lądowej i wodnej</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21 400 584,40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0,00</w:t>
                        </w:r>
                      </w:p>
                    </w:tc>
                    <w:tc>
                      <w:tcPr>
                        <w:tcW w:w="42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0,00</w:t>
                        </w:r>
                      </w:p>
                    </w:tc>
                    <w:tc>
                      <w:tcPr>
                        <w:tcW w:w="4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21 400 584,40</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13 103 164,21</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441 782,76</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441 782,76</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13 544 946,97</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8 297 420,19</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7 855 637,43</w:t>
                        </w:r>
                      </w:p>
                    </w:tc>
                  </w:tr>
                  <w:tr>
                    <w:trPr>
                      <w:trHeight w:val="480"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3)</w:t>
                        </w:r>
                      </w:p>
                    </w:tc>
                    <w:tc>
                      <w:tcPr>
                        <w:tcW w:w="920"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urządzenia techniczne i maszyny</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633 094,98</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633 094,98</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633 094,98</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633 094,98</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0,00</w:t>
                        </w:r>
                      </w:p>
                    </w:tc>
                  </w:tr>
                  <w:tr>
                    <w:trPr>
                      <w:trHeight w:val="330"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4)</w:t>
                        </w:r>
                      </w:p>
                    </w:tc>
                    <w:tc>
                      <w:tcPr>
                        <w:tcW w:w="920"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środki transportu</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5 049,99</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5 049,99</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5 049,99</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5 049,99</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0,00</w:t>
                        </w:r>
                      </w:p>
                    </w:tc>
                  </w:tr>
                  <w:tr>
                    <w:trPr>
                      <w:trHeight w:val="330"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5)</w:t>
                        </w:r>
                      </w:p>
                    </w:tc>
                    <w:tc>
                      <w:tcPr>
                        <w:tcW w:w="920"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inne środki trwałe</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422 439,86</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4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10 980,00</w:t>
                        </w:r>
                      </w:p>
                    </w:tc>
                    <w:tc>
                      <w:tcPr>
                        <w:tcW w:w="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10 980,00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411 459,86</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422 439,86</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10 980,00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411 459,86</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0,00</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xml:space="preserve">                    </w:t>
                        </w:r>
                        <w:r>
                          <w:rPr>
                            <w:rFonts w:eastAsia="Times New Roman" w:ascii="Arial" w:hAnsi="Arial"/>
                            <w:color w:val="auto"/>
                            <w:sz w:val="24"/>
                            <w:szCs w:val="24"/>
                            <w:lang w:eastAsia="pl-PL"/>
                          </w:rPr>
                          <w:t>0,00</w:t>
                        </w:r>
                      </w:p>
                    </w:tc>
                  </w:tr>
                  <w:tr>
                    <w:trPr>
                      <w:trHeight w:val="330" w:hRule="atLeast"/>
                    </w:trPr>
                    <w:tc>
                      <w:tcPr>
                        <w:tcW w:w="2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i/>
                            <w:i/>
                            <w:iCs/>
                            <w:color w:val="000000"/>
                            <w:sz w:val="12"/>
                            <w:szCs w:val="12"/>
                            <w:lang w:eastAsia="pl-PL"/>
                          </w:rPr>
                        </w:pPr>
                        <w:r>
                          <w:rPr>
                            <w:rFonts w:eastAsia="Times New Roman" w:ascii="Arial" w:hAnsi="Arial"/>
                            <w:b/>
                            <w:bCs/>
                            <w:i/>
                            <w:iCs/>
                            <w:color w:val="auto"/>
                            <w:sz w:val="24"/>
                            <w:szCs w:val="24"/>
                            <w:lang w:eastAsia="pl-PL"/>
                          </w:rPr>
                          <w:t> </w:t>
                        </w:r>
                      </w:p>
                    </w:tc>
                    <w:tc>
                      <w:tcPr>
                        <w:tcW w:w="920"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olor w:val="000000"/>
                            <w:sz w:val="12"/>
                            <w:szCs w:val="12"/>
                            <w:lang w:eastAsia="pl-PL"/>
                          </w:rPr>
                        </w:pPr>
                        <w:r>
                          <w:rPr>
                            <w:rFonts w:eastAsia="Times New Roman" w:ascii="Arial" w:hAnsi="Arial"/>
                            <w:color w:val="auto"/>
                            <w:sz w:val="24"/>
                            <w:szCs w:val="24"/>
                            <w:lang w:eastAsia="pl-PL"/>
                          </w:rPr>
                          <w:t> </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28 942 240,00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10 051,40</w:t>
                        </w:r>
                      </w:p>
                    </w:tc>
                    <w:tc>
                      <w:tcPr>
                        <w:tcW w:w="42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10 051,40</w:t>
                        </w:r>
                      </w:p>
                    </w:tc>
                    <w:tc>
                      <w:tcPr>
                        <w:tcW w:w="4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10 980,00</w:t>
                        </w:r>
                      </w:p>
                    </w:tc>
                    <w:tc>
                      <w:tcPr>
                        <w:tcW w:w="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10 980,00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28 941 311,40</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14 172 519,81</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441 782,76</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10 051,40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451 834,16</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10 980,00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14 613 373,97</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14 769 720,19</w:t>
                        </w:r>
                      </w:p>
                    </w:tc>
                    <w:tc>
                      <w:tcPr>
                        <w:tcW w:w="11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2"/>
                            <w:szCs w:val="12"/>
                            <w:lang w:eastAsia="pl-PL"/>
                          </w:rPr>
                        </w:pPr>
                        <w:r>
                          <w:rPr>
                            <w:rFonts w:eastAsia="Times New Roman" w:ascii="Arial" w:hAnsi="Arial"/>
                            <w:b/>
                            <w:bCs/>
                            <w:color w:val="auto"/>
                            <w:sz w:val="24"/>
                            <w:szCs w:val="24"/>
                            <w:lang w:eastAsia="pl-PL"/>
                          </w:rPr>
                          <w:t xml:space="preserve">     </w:t>
                        </w:r>
                        <w:r>
                          <w:rPr>
                            <w:rFonts w:eastAsia="Times New Roman" w:ascii="Arial" w:hAnsi="Arial"/>
                            <w:b/>
                            <w:bCs/>
                            <w:color w:val="auto"/>
                            <w:sz w:val="24"/>
                            <w:szCs w:val="24"/>
                            <w:lang w:eastAsia="pl-PL"/>
                          </w:rPr>
                          <w:t>14  327 937,43</w:t>
                        </w:r>
                      </w:p>
                    </w:tc>
                  </w:tr>
                </w:tbl>
                <w:p>
                  <w:pPr>
                    <w:pStyle w:val="Normal"/>
                    <w:spacing w:lineRule="auto" w:line="240" w:before="0" w:after="0"/>
                    <w:rPr>
                      <w:rFonts w:ascii="Arial" w:hAnsi="Arial" w:eastAsia="Times New Roman"/>
                      <w:b/>
                      <w:b/>
                      <w:bCs/>
                      <w:color w:val="auto"/>
                      <w:sz w:val="24"/>
                      <w:szCs w:val="24"/>
                      <w:u w:val="single"/>
                      <w:lang w:eastAsia="pl-PL"/>
                    </w:rPr>
                  </w:pPr>
                  <w:r>
                    <w:rPr>
                      <w:rFonts w:eastAsia="Times New Roman" w:ascii="Arial" w:hAnsi="Arial"/>
                      <w:b/>
                      <w:bCs/>
                      <w:color w:val="auto"/>
                      <w:sz w:val="24"/>
                      <w:szCs w:val="24"/>
                      <w:u w:val="single"/>
                      <w:lang w:eastAsia="pl-PL"/>
                    </w:rPr>
                  </w:r>
                </w:p>
              </w:tc>
            </w:tr>
          </w:tbl>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1.4.</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1.5.</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1.6.</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1.7.</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1.8.</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1.9.</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a)</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1 roku do 3 lat</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b)</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c)</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powyżej 5 lat</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sz w:val="18"/>
                <w:szCs w:val="18"/>
              </w:rPr>
            </w:pPr>
            <w:r>
              <w:rPr>
                <w:rFonts w:ascii="Arial" w:hAnsi="Arial"/>
                <w:color w:val="auto"/>
                <w:sz w:val="24"/>
                <w:szCs w:val="24"/>
              </w:rPr>
              <w:t>1.12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sz w:val="18"/>
                <w:szCs w:val="18"/>
              </w:rPr>
            </w:pPr>
            <w:r>
              <w:rPr>
                <w:rFonts w:ascii="Arial" w:hAnsi="Arial"/>
                <w:color w:val="auto"/>
                <w:sz w:val="24"/>
                <w:szCs w:val="24"/>
              </w:rPr>
              <w:t>1.13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sz w:val="18"/>
                <w:szCs w:val="18"/>
              </w:rPr>
            </w:pPr>
            <w:r>
              <w:rPr>
                <w:rFonts w:ascii="Arial" w:hAnsi="Arial"/>
                <w:color w:val="auto"/>
                <w:sz w:val="24"/>
                <w:szCs w:val="24"/>
              </w:rPr>
              <w:t>1.14</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sz w:val="18"/>
                <w:szCs w:val="18"/>
              </w:rPr>
            </w:pPr>
            <w:r>
              <w:rPr>
                <w:rFonts w:ascii="Arial" w:hAnsi="Arial"/>
                <w:color w:val="auto"/>
                <w:sz w:val="24"/>
                <w:szCs w:val="24"/>
              </w:rPr>
              <w:t>1.15</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406 617,85  zł.</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sz w:val="18"/>
                <w:szCs w:val="18"/>
              </w:rPr>
            </w:pPr>
            <w:r>
              <w:rPr>
                <w:rFonts w:ascii="Arial" w:hAnsi="Arial"/>
                <w:color w:val="auto"/>
                <w:sz w:val="24"/>
                <w:szCs w:val="24"/>
              </w:rPr>
              <w:t>1.16</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 xml:space="preserve">inne informacje      </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 xml:space="preserve">umorzenie pozostałych środków trwałych:   4 897 085,60  zł. </w:t>
            </w:r>
          </w:p>
          <w:p>
            <w:pPr>
              <w:pStyle w:val="Normal"/>
              <w:spacing w:lineRule="auto" w:line="240" w:before="0" w:after="0"/>
              <w:rPr>
                <w:sz w:val="20"/>
                <w:szCs w:val="20"/>
              </w:rPr>
            </w:pPr>
            <w:r>
              <w:rPr>
                <w:rFonts w:ascii="Arial" w:hAnsi="Arial"/>
                <w:color w:val="auto"/>
                <w:sz w:val="24"/>
                <w:szCs w:val="24"/>
              </w:rPr>
              <w:t xml:space="preserve">umorzenie zbiorów bibliotecznych:   118 192,61  zł.  </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18"/>
                <w:szCs w:val="18"/>
              </w:rPr>
            </w:pPr>
            <w:r>
              <w:rPr>
                <w:rFonts w:cs="Calibri" w:ascii="Arial" w:hAnsi="Arial"/>
                <w:color w:val="auto"/>
                <w:sz w:val="24"/>
                <w:szCs w:val="24"/>
              </w:rPr>
              <w:t>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sz w:val="18"/>
                <w:szCs w:val="18"/>
              </w:rPr>
            </w:pPr>
            <w:r>
              <w:rPr>
                <w:rFonts w:ascii="Arial" w:hAnsi="Arial"/>
                <w:color w:val="auto"/>
                <w:sz w:val="24"/>
                <w:szCs w:val="24"/>
              </w:rPr>
              <w:t>2.1.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sz w:val="18"/>
                <w:szCs w:val="18"/>
              </w:rPr>
            </w:pPr>
            <w:r>
              <w:rPr>
                <w:rFonts w:ascii="Arial" w:hAnsi="Arial"/>
                <w:color w:val="auto"/>
                <w:sz w:val="24"/>
                <w:szCs w:val="24"/>
              </w:rPr>
              <w:t>2.2.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sz w:val="18"/>
                <w:szCs w:val="18"/>
              </w:rPr>
            </w:pPr>
            <w:r>
              <w:rPr>
                <w:rFonts w:ascii="Arial" w:hAnsi="Arial"/>
                <w:color w:val="auto"/>
                <w:sz w:val="24"/>
                <w:szCs w:val="24"/>
              </w:rPr>
              <w:t>2.3.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183 842,01  zł. – Fundusz Pomocy Ukrainie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sz w:val="18"/>
                <w:szCs w:val="18"/>
              </w:rPr>
            </w:pPr>
            <w:r>
              <w:rPr>
                <w:rFonts w:ascii="Arial" w:hAnsi="Arial"/>
                <w:color w:val="auto"/>
                <w:sz w:val="24"/>
                <w:szCs w:val="24"/>
              </w:rPr>
              <w:t>2.4.</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sz w:val="18"/>
                <w:szCs w:val="18"/>
              </w:rPr>
            </w:pPr>
            <w:r>
              <w:rPr>
                <w:rFonts w:ascii="Arial" w:hAnsi="Arial"/>
                <w:color w:val="auto"/>
                <w:sz w:val="24"/>
                <w:szCs w:val="24"/>
              </w:rPr>
              <w:t>2.5.</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inne informacje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sz w:val="18"/>
                <w:szCs w:val="18"/>
              </w:rPr>
            </w:pPr>
            <w:r>
              <w:rPr>
                <w:rFonts w:ascii="Arial" w:hAnsi="Arial"/>
                <w:color w:val="auto"/>
                <w:sz w:val="24"/>
                <w:szCs w:val="24"/>
              </w:rPr>
              <w:t>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bCs/>
        </w:rPr>
      </w:pPr>
      <w:r>
        <w:rPr>
          <w:rFonts w:ascii="Arial" w:hAnsi="Arial"/>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 xml:space="preserve">..........................................                                 </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lineRule="auto" w:line="240"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05f"/>
    <w:pPr>
      <w:widowControl/>
      <w:bidi w:val="0"/>
      <w:spacing w:lineRule="auto" w:line="259" w:before="0" w:after="16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locked/>
    <w:rsid w:val="009572ff"/>
    <w:rPr>
      <w:rFonts w:ascii="Segoe UI" w:hAnsi="Segoe UI" w:cs="Segoe UI"/>
      <w:sz w:val="18"/>
      <w:szCs w:val="18"/>
    </w:rPr>
  </w:style>
  <w:style w:type="character" w:styleId="ListLabel1">
    <w:name w:val="ListLabel 1"/>
    <w:qFormat/>
    <w:rPr>
      <w:rFonts w:ascii="Arial Narrow" w:hAnsi="Arial Narrow" w:eastAsia="Times New Roman"/>
    </w:rPr>
  </w:style>
  <w:style w:type="character" w:styleId="ListLabel2">
    <w:name w:val="ListLabel 2"/>
    <w:qFormat/>
    <w:rPr>
      <w:rFonts w:ascii="Arial Narrow" w:hAnsi="Arial Narrow"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99"/>
    <w:qFormat/>
    <w:rsid w:val="008219e0"/>
    <w:pPr>
      <w:spacing w:before="0" w:after="160"/>
      <w:ind w:left="720" w:hanging="0"/>
      <w:contextualSpacing/>
    </w:pPr>
    <w:rPr/>
  </w:style>
  <w:style w:type="paragraph" w:styleId="BalloonText">
    <w:name w:val="Balloon Text"/>
    <w:basedOn w:val="Normal"/>
    <w:link w:val="TekstdymkaZnak"/>
    <w:uiPriority w:val="99"/>
    <w:semiHidden/>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99"/>
    <w:rsid w:val="00891a6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72E8-990C-4897-AE34-B99B0BCA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LibreOffice/6.2.3.2$Windows_x86 LibreOffice_project/aecc05fe267cc68dde00352a451aa867b3b546ac</Application>
  <Pages>11</Pages>
  <Words>3375</Words>
  <Characters>21664</Characters>
  <CharactersWithSpaces>25536</CharactersWithSpaces>
  <Paragraphs>415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2025-05-05T07:16:00Z</dcterms:created>
  <dc:creator>Marietta Ulatowska</dc:creator>
  <dc:description/>
  <cp:keywords>Informacja dodatkowa</cp:keywords>
  <dc:language>pl-PL</dc:language>
  <cp:lastModifiedBy/>
  <cp:lastPrinted>2025-03-17T11:37:00Z</cp:lastPrinted>
  <dcterms:modified xsi:type="dcterms:W3CDTF">2025-05-08T11:47:15Z</dcterms:modified>
  <cp:revision>3</cp:revision>
  <dc:subject/>
  <dc:title>ZSS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