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5126" w:type="dxa"/>
        <w:jc w:val="left"/>
        <w:tblInd w:w="0" w:type="dxa"/>
        <w:tblCellMar>
          <w:top w:w="0" w:type="dxa"/>
          <w:left w:w="108" w:type="dxa"/>
          <w:bottom w:w="0" w:type="dxa"/>
          <w:right w:w="108" w:type="dxa"/>
        </w:tblCellMar>
        <w:tblLook w:firstRow="1" w:noVBand="1" w:lastRow="0" w:firstColumn="1" w:lastColumn="0" w:noHBand="0" w:val="04a0"/>
      </w:tblPr>
      <w:tblGrid>
        <w:gridCol w:w="621"/>
        <w:gridCol w:w="14504"/>
      </w:tblGrid>
      <w:tr>
        <w:trPr/>
        <w:tc>
          <w:tcPr>
            <w:tcW w:w="621"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504"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621"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450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1"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4504"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62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04"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Zespół Szkół Elektrycznych</w:t>
            </w:r>
          </w:p>
        </w:tc>
      </w:tr>
      <w:tr>
        <w:trPr/>
        <w:tc>
          <w:tcPr>
            <w:tcW w:w="621"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4504" w:type="dxa"/>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62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04"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sz w:val="24"/>
                <w:szCs w:val="24"/>
              </w:rPr>
            </w:pPr>
            <w:r>
              <w:rPr>
                <w:rFonts w:ascii="Arial" w:hAnsi="Arial"/>
                <w:color w:val="auto"/>
                <w:sz w:val="24"/>
                <w:szCs w:val="24"/>
              </w:rPr>
              <w:t>Ul.Toruńska 77/83   87-800 Włocławek</w:t>
            </w:r>
          </w:p>
        </w:tc>
      </w:tr>
      <w:tr>
        <w:trPr/>
        <w:tc>
          <w:tcPr>
            <w:tcW w:w="621"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4504" w:type="dxa"/>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62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04"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sz w:val="24"/>
                <w:szCs w:val="24"/>
              </w:rPr>
            </w:pPr>
            <w:r>
              <w:rPr>
                <w:rFonts w:ascii="Arial" w:hAnsi="Arial"/>
                <w:color w:val="auto"/>
                <w:sz w:val="24"/>
                <w:szCs w:val="24"/>
              </w:rPr>
              <w:t>Ul. Toruńska 77/83   87-800 Włocławek</w:t>
            </w:r>
          </w:p>
        </w:tc>
      </w:tr>
      <w:tr>
        <w:trPr/>
        <w:tc>
          <w:tcPr>
            <w:tcW w:w="621"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4504" w:type="dxa"/>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62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504" w:type="dxa"/>
            <w:tcBorders/>
            <w:shd w:fill="auto" w:val="clear"/>
          </w:tcPr>
          <w:p>
            <w:pPr>
              <w:pStyle w:val="Normal"/>
              <w:spacing w:lineRule="auto" w:line="240" w:before="0" w:after="0"/>
              <w:rPr>
                <w:rFonts w:ascii="Arial" w:hAnsi="Arial"/>
                <w:color w:val="auto"/>
                <w:sz w:val="24"/>
                <w:szCs w:val="24"/>
              </w:rPr>
            </w:pPr>
            <w:r>
              <w:rPr>
                <w:rFonts w:cs="TimesNewRomanPSMT" w:ascii="Arial" w:hAnsi="Arial"/>
                <w:color w:val="auto"/>
                <w:sz w:val="24"/>
                <w:szCs w:val="24"/>
              </w:rPr>
              <w:t>Podstawę prawną działalności Zespołu Szkół Elektrycznych stanowi ustawa z dnia 14 grudnia 2016 r. Prawo Oświatowe (tekst jednolity Dz.U. z 2017 r. poz. 59) oraz wydane do niej przepisy wykonawcze oraz Statut Zespołu Szkół Elektrycznych.</w:t>
            </w:r>
          </w:p>
        </w:tc>
      </w:tr>
      <w:tr>
        <w:trPr/>
        <w:tc>
          <w:tcPr>
            <w:tcW w:w="621" w:type="dxa"/>
            <w:tcBorders/>
            <w:shd w:fill="auto" w:val="clear"/>
          </w:tcPr>
          <w:p>
            <w:pPr>
              <w:pStyle w:val="Normal"/>
              <w:spacing w:lineRule="auto" w:line="240" w:before="0" w:after="0"/>
              <w:rPr>
                <w:sz w:val="20"/>
                <w:szCs w:val="20"/>
              </w:rPr>
            </w:pPr>
            <w:r>
              <w:rPr>
                <w:rFonts w:ascii="Arial" w:hAnsi="Arial"/>
                <w:color w:val="auto"/>
                <w:sz w:val="24"/>
                <w:szCs w:val="24"/>
              </w:rPr>
              <w:t xml:space="preserve"> </w:t>
            </w:r>
            <w:r>
              <w:rPr>
                <w:rFonts w:ascii="Arial" w:hAnsi="Arial"/>
                <w:color w:val="auto"/>
                <w:sz w:val="24"/>
                <w:szCs w:val="24"/>
              </w:rPr>
              <w:t>2.</w:t>
            </w:r>
          </w:p>
        </w:tc>
        <w:tc>
          <w:tcPr>
            <w:tcW w:w="14504" w:type="dxa"/>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62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504" w:type="dxa"/>
            <w:tcBorders/>
            <w:shd w:fill="auto" w:val="clear"/>
          </w:tcPr>
          <w:p>
            <w:pPr>
              <w:pStyle w:val="Normal"/>
              <w:spacing w:lineRule="auto" w:line="240" w:before="0" w:after="0"/>
              <w:rPr>
                <w:rFonts w:ascii="Arial Narrow" w:hAnsi="Arial Narrow"/>
              </w:rPr>
            </w:pPr>
            <w:r>
              <w:rPr>
                <w:rFonts w:ascii="Arial" w:hAnsi="Arial"/>
                <w:color w:val="auto"/>
                <w:sz w:val="24"/>
                <w:szCs w:val="24"/>
              </w:rPr>
              <w:t>01 stycznia 2024 - 31 grudnia 2024</w:t>
            </w:r>
          </w:p>
        </w:tc>
      </w:tr>
      <w:tr>
        <w:trPr/>
        <w:tc>
          <w:tcPr>
            <w:tcW w:w="621"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4504" w:type="dxa"/>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62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50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1"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4504"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62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04" w:type="dxa"/>
            <w:tcBorders/>
            <w:shd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Zasady amortyzacji (umorzenia) środków trwałych i wartości niematerialnych i prawnych.</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Książki i inne zbiory biblioteczne.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Środki dydaktyczne służące procesowi dydaktyczno-wychowawczemu realizowanemu w szkołach </w:t>
              <w:br/>
              <w:t>i placówkach oświatowych.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Narrow" w:hAnsi="Arial Narrow" w:cs="Calibri" w:cstheme="minorHAnsi"/>
              </w:rPr>
            </w:pPr>
            <w:r>
              <w:rPr>
                <w:rFonts w:cs="Calibri" w:ascii="Arial" w:hAnsi="Arial" w:cstheme="minorHAnsi"/>
                <w:color w:val="auto"/>
                <w:sz w:val="24"/>
                <w:szCs w:val="24"/>
              </w:rPr>
              <w:t>16) 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P</w:t>
            </w:r>
            <w:r>
              <w:rPr>
                <w:rFonts w:cs="Calibri" w:ascii="Arial" w:hAnsi="Arial" w:cstheme="minorHAnsi"/>
                <w:color w:val="auto"/>
                <w:sz w:val="24"/>
                <w:szCs w:val="24"/>
              </w:rPr>
              <w:t>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Odsetki od należności, ujmuje się w księgach rachunkowych w momencie ich zapłaty lub na koniec kwartału </w:t>
              <w:br/>
              <w:t>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Rozliczenia z tytułu VAT.</w:t>
            </w:r>
          </w:p>
          <w:p>
            <w:pPr>
              <w:pStyle w:val="Normal"/>
              <w:numPr>
                <w:ilvl w:val="0"/>
                <w:numId w:val="17"/>
              </w:numPr>
              <w:spacing w:lineRule="auto" w:line="240" w:before="0" w:after="0"/>
              <w:jc w:val="both"/>
              <w:rPr>
                <w:rFonts w:ascii="Arial" w:hAnsi="Arial"/>
                <w:color w:val="auto"/>
                <w:sz w:val="24"/>
                <w:szCs w:val="24"/>
              </w:rPr>
            </w:pPr>
            <w:r>
              <w:rPr>
                <w:rFonts w:eastAsia="Times New Roman" w:cs="Segoe UI" w:ascii="Arial" w:hAnsi="Arial"/>
                <w:color w:val="auto"/>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r>
              <w:rPr>
                <w:rFonts w:cs="Calibri" w:ascii="Arial" w:hAnsi="Arial" w:cstheme="minorHAnsi"/>
                <w:color w:val="auto"/>
                <w:sz w:val="24"/>
                <w:szCs w:val="24"/>
              </w:rPr>
              <w:t xml:space="preserve"> </w:t>
            </w:r>
            <w:r>
              <w:rPr>
                <w:rFonts w:eastAsia="Times New Roman" w:cs="Segoe UI" w:ascii="Arial" w:hAnsi="Arial"/>
                <w:color w:val="auto"/>
                <w:sz w:val="24"/>
                <w:szCs w:val="24"/>
                <w:lang w:eastAsia="pl-PL"/>
              </w:rPr>
              <w:t>W celu realizacji MPP (Mechanizm Podzielonej Płatności)</w:t>
            </w:r>
            <w:r>
              <w:rPr>
                <w:rFonts w:eastAsia="Times New Roman" w:cs="Segoe UI" w:ascii="Arial" w:hAnsi="Arial"/>
                <w:b/>
                <w:bCs/>
                <w:color w:val="auto"/>
                <w:sz w:val="24"/>
                <w:szCs w:val="24"/>
                <w:lang w:eastAsia="pl-PL"/>
              </w:rPr>
              <w:t xml:space="preserve"> </w:t>
            </w:r>
            <w:r>
              <w:rPr>
                <w:rFonts w:eastAsia="Times New Roman" w:cs="Segoe UI" w:ascii="Arial" w:hAnsi="Arial"/>
                <w:color w:val="auto"/>
                <w:sz w:val="24"/>
                <w:szCs w:val="24"/>
                <w:lang w:eastAsia="pl-PL"/>
              </w:rPr>
              <w:t xml:space="preserve">wydzielono w </w:t>
            </w:r>
            <w:r>
              <w:rPr>
                <w:rFonts w:eastAsia="Times New Roman" w:cs="Segoe UI" w:ascii="Arial" w:hAnsi="Arial"/>
                <w:color w:val="auto"/>
                <w:sz w:val="24"/>
                <w:szCs w:val="24"/>
                <w:lang w:eastAsia="pl-PL"/>
              </w:rPr>
              <w:t>k</w:t>
            </w:r>
            <w:r>
              <w:rPr>
                <w:rFonts w:eastAsia="Times New Roman" w:cs="Segoe UI" w:ascii="Arial" w:hAnsi="Arial"/>
                <w:color w:val="auto"/>
                <w:sz w:val="24"/>
                <w:szCs w:val="24"/>
                <w:lang w:eastAsia="pl-PL"/>
              </w:rPr>
              <w:t xml:space="preserve">sięgach rachunkowych dodatkowe konta analityczne " VAT". </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bCs/>
                <w:color w:val="auto"/>
                <w:sz w:val="24"/>
                <w:szCs w:val="24"/>
              </w:rPr>
              <w:t>Sprawozdawczość finansowa:</w:t>
            </w:r>
          </w:p>
          <w:p>
            <w:pPr>
              <w:pStyle w:val="Normal"/>
              <w:numPr>
                <w:ilvl w:val="0"/>
                <w:numId w:val="19"/>
              </w:numPr>
              <w:spacing w:lineRule="auto" w:line="240" w:before="0" w:after="0"/>
              <w:jc w:val="both"/>
              <w:rPr>
                <w:rFonts w:ascii="Arial" w:hAnsi="Arial"/>
                <w:color w:val="auto"/>
                <w:sz w:val="24"/>
                <w:szCs w:val="24"/>
              </w:rPr>
            </w:pP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21"/>
              </w:numPr>
              <w:spacing w:lineRule="auto" w:line="240" w:before="0" w:after="0"/>
              <w:jc w:val="both"/>
              <w:rPr>
                <w:rFonts w:ascii="Arial" w:hAnsi="Arial"/>
                <w:color w:val="auto"/>
                <w:sz w:val="24"/>
                <w:szCs w:val="24"/>
              </w:rPr>
            </w:pPr>
            <w:r>
              <w:rPr>
                <w:rFonts w:cs="Calibri" w:ascii="Arial" w:hAnsi="Arial" w:cstheme="minorHAnsi"/>
                <w:color w:val="auto"/>
                <w:sz w:val="24"/>
                <w:szCs w:val="24"/>
              </w:rPr>
              <w:t>Vulcan aplikacja Finanse VULCAN wersja zgodna z aktualizacjami programu - firma Vulcan Sp.</w:t>
              <w:br/>
              <w:t xml:space="preserve">z o.o. ul. Wołowska 6, 51-116 Wrocław. Administratorem platformy systemu Vulcan jest Gmina Miasto Włocławek. </w:t>
            </w:r>
          </w:p>
        </w:tc>
      </w:tr>
      <w:tr>
        <w:trPr/>
        <w:tc>
          <w:tcPr>
            <w:tcW w:w="62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504"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rHeight w:val="76" w:hRule="atLeast"/>
        </w:trPr>
        <w:tc>
          <w:tcPr>
            <w:tcW w:w="62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1" w:type="dxa"/>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504" w:type="dxa"/>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rHeight w:val="294" w:hRule="atLeast"/>
        </w:trPr>
        <w:tc>
          <w:tcPr>
            <w:tcW w:w="62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450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504" w:type="dxa"/>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numPr>
                <w:ilvl w:val="0"/>
                <w:numId w:val="22"/>
              </w:numPr>
              <w:spacing w:lineRule="auto" w:line="240"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62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shd w:fill="auto" w:val="clear"/>
          </w:tcPr>
          <w:p>
            <w:pPr>
              <w:pStyle w:val="Normal"/>
              <w:spacing w:lineRule="auto" w:line="240" w:before="0" w:after="0"/>
              <w:rPr>
                <w:rFonts w:ascii="Arial" w:hAnsi="Arial" w:cs="Calibri Light" w:cstheme="majorHAnsi"/>
                <w:b/>
                <w:b/>
                <w:bCs/>
                <w:color w:val="auto"/>
                <w:sz w:val="24"/>
                <w:szCs w:val="24"/>
              </w:rPr>
            </w:pPr>
            <w:r>
              <w:rPr>
                <w:rFonts w:cs="Calibri Light" w:cstheme="majorHAnsi" w:ascii="Arial" w:hAnsi="Arial"/>
                <w:b/>
                <w:bCs/>
                <w:color w:val="auto"/>
                <w:sz w:val="24"/>
                <w:szCs w:val="24"/>
              </w:rPr>
            </w:r>
          </w:p>
          <w:p>
            <w:pPr>
              <w:pStyle w:val="Normal"/>
              <w:spacing w:lineRule="auto" w:line="240" w:before="0" w:after="0"/>
              <w:rPr>
                <w:rFonts w:ascii="Calibri Light" w:hAnsi="Calibri Light" w:cs="Calibri Light" w:asciiTheme="majorHAnsi" w:cstheme="majorHAnsi" w:hAnsiTheme="majorHAnsi"/>
                <w:b/>
                <w:b/>
                <w:bCs/>
                <w:color w:val="000000"/>
                <w:sz w:val="18"/>
                <w:szCs w:val="18"/>
              </w:rPr>
            </w:pPr>
            <w:r>
              <w:rPr>
                <w:rFonts w:cs="Calibri Light" w:ascii="Arial" w:hAnsi="Arial" w:cstheme="majorHAnsi"/>
                <w:b/>
                <w:bCs/>
                <w:color w:val="auto"/>
                <w:sz w:val="24"/>
                <w:szCs w:val="24"/>
              </w:rPr>
              <w:t>GŁÓWNE SKŁADNIKI AKTYWÓW TRWAŁYCH</w:t>
            </w:r>
          </w:p>
          <w:tbl>
            <w:tblPr>
              <w:tblW w:w="14278" w:type="dxa"/>
              <w:jc w:val="left"/>
              <w:tblInd w:w="0" w:type="dxa"/>
              <w:tblCellMar>
                <w:top w:w="0" w:type="dxa"/>
                <w:left w:w="70" w:type="dxa"/>
                <w:bottom w:w="0" w:type="dxa"/>
                <w:right w:w="70" w:type="dxa"/>
              </w:tblCellMar>
              <w:tblLook w:firstRow="1" w:noVBand="1" w:lastRow="0" w:firstColumn="1" w:lastColumn="0" w:noHBand="0" w:val="04a0"/>
            </w:tblPr>
            <w:tblGrid>
              <w:gridCol w:w="462"/>
              <w:gridCol w:w="927"/>
              <w:gridCol w:w="984"/>
              <w:gridCol w:w="512"/>
              <w:gridCol w:w="691"/>
              <w:gridCol w:w="404"/>
              <w:gridCol w:w="2"/>
              <w:gridCol w:w="768"/>
              <w:gridCol w:w="1"/>
              <w:gridCol w:w="476"/>
              <w:gridCol w:w="675"/>
              <w:gridCol w:w="404"/>
              <w:gridCol w:w="3"/>
              <w:gridCol w:w="754"/>
              <w:gridCol w:w="3"/>
              <w:gridCol w:w="849"/>
              <w:gridCol w:w="3"/>
              <w:gridCol w:w="871"/>
              <w:gridCol w:w="3"/>
              <w:gridCol w:w="510"/>
              <w:gridCol w:w="736"/>
              <w:gridCol w:w="519"/>
              <w:gridCol w:w="4"/>
              <w:gridCol w:w="752"/>
              <w:gridCol w:w="5"/>
              <w:gridCol w:w="464"/>
              <w:gridCol w:w="4"/>
              <w:gridCol w:w="808"/>
              <w:gridCol w:w="4"/>
              <w:gridCol w:w="831"/>
              <w:gridCol w:w="845"/>
            </w:tblGrid>
            <w:tr>
              <w:trPr>
                <w:trHeight w:val="510" w:hRule="atLeast"/>
              </w:trPr>
              <w:tc>
                <w:tcPr>
                  <w:tcW w:w="46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Lp.</w:t>
                  </w:r>
                </w:p>
              </w:tc>
              <w:tc>
                <w:tcPr>
                  <w:tcW w:w="9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Nazwa grupy rodzajowej składnika aktywów trwałych</w:t>
                  </w:r>
                </w:p>
              </w:tc>
              <w:tc>
                <w:tcPr>
                  <w:tcW w:w="9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Wartość poczatkowa - stan na poczatek roku obrotowego</w:t>
                  </w:r>
                </w:p>
              </w:tc>
              <w:tc>
                <w:tcPr>
                  <w:tcW w:w="1609"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Zwiększenie wartości poczatkowej</w:t>
                  </w:r>
                </w:p>
              </w:tc>
              <w:tc>
                <w:tcPr>
                  <w:tcW w:w="76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Ogółem zwiększenie wartości początkowej (4+5+6)</w:t>
                  </w:r>
                </w:p>
              </w:tc>
              <w:tc>
                <w:tcPr>
                  <w:tcW w:w="1558"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Zmniejszenie wartości początkowej</w:t>
                  </w:r>
                </w:p>
              </w:tc>
              <w:tc>
                <w:tcPr>
                  <w:tcW w:w="75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Ogółem zmniejszenie wartości poczatkowej                                                                                                                              (8+9+10)</w:t>
                  </w:r>
                </w:p>
              </w:tc>
              <w:tc>
                <w:tcPr>
                  <w:tcW w:w="8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Wartość poczatkowa - stan na koniec roku obrotowego                                                                                                                                           (3+7-11)</w:t>
                  </w:r>
                </w:p>
              </w:tc>
              <w:tc>
                <w:tcPr>
                  <w:tcW w:w="874"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Umorzenie - stan na początek roku obrotowego</w:t>
                  </w:r>
                </w:p>
              </w:tc>
              <w:tc>
                <w:tcPr>
                  <w:tcW w:w="1769"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Zwiększenia w ciągu roku obrotowego</w:t>
                  </w:r>
                </w:p>
              </w:tc>
              <w:tc>
                <w:tcPr>
                  <w:tcW w:w="75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Ogółem zwiększenie umorzenia (14+15+16)</w:t>
                  </w:r>
                </w:p>
              </w:tc>
              <w:tc>
                <w:tcPr>
                  <w:tcW w:w="468"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Zmniejszenie umorzenia</w:t>
                  </w:r>
                </w:p>
              </w:tc>
              <w:tc>
                <w:tcPr>
                  <w:tcW w:w="81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Umorzenie - stan na koniec roku obrotowego                                                                                                 (13+17-18)</w:t>
                  </w:r>
                </w:p>
              </w:tc>
              <w:tc>
                <w:tcPr>
                  <w:tcW w:w="1676"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Wartość netto składników aktywów</w:t>
                  </w:r>
                </w:p>
              </w:tc>
            </w:tr>
            <w:tr>
              <w:trPr>
                <w:trHeight w:val="1695" w:hRule="atLeast"/>
              </w:trPr>
              <w:tc>
                <w:tcPr>
                  <w:tcW w:w="46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Light" w:cstheme="majorHAnsi"/>
                      <w:color w:val="auto"/>
                      <w:sz w:val="24"/>
                      <w:szCs w:val="24"/>
                      <w:lang w:eastAsia="pl-PL"/>
                    </w:rPr>
                  </w:pPr>
                  <w:r>
                    <w:rPr>
                      <w:rFonts w:eastAsia="Times New Roman" w:cs="Calibri Light" w:cstheme="majorHAnsi" w:ascii="Arial" w:hAnsi="Arial"/>
                      <w:color w:val="auto"/>
                      <w:sz w:val="24"/>
                      <w:szCs w:val="24"/>
                      <w:lang w:eastAsia="pl-PL"/>
                    </w:rPr>
                  </w:r>
                </w:p>
              </w:tc>
              <w:tc>
                <w:tcPr>
                  <w:tcW w:w="92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Light" w:cstheme="majorHAnsi"/>
                      <w:color w:val="auto"/>
                      <w:sz w:val="24"/>
                      <w:szCs w:val="24"/>
                      <w:lang w:eastAsia="pl-PL"/>
                    </w:rPr>
                  </w:pPr>
                  <w:r>
                    <w:rPr>
                      <w:rFonts w:eastAsia="Times New Roman" w:cs="Calibri Light" w:cstheme="majorHAnsi" w:ascii="Arial" w:hAnsi="Arial"/>
                      <w:color w:val="auto"/>
                      <w:sz w:val="24"/>
                      <w:szCs w:val="24"/>
                      <w:lang w:eastAsia="pl-PL"/>
                    </w:rPr>
                  </w:r>
                </w:p>
              </w:tc>
              <w:tc>
                <w:tcPr>
                  <w:tcW w:w="98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Light" w:cstheme="majorHAnsi"/>
                      <w:color w:val="auto"/>
                      <w:sz w:val="24"/>
                      <w:szCs w:val="24"/>
                      <w:lang w:eastAsia="pl-PL"/>
                    </w:rPr>
                  </w:pPr>
                  <w:r>
                    <w:rPr>
                      <w:rFonts w:eastAsia="Times New Roman" w:cs="Calibri Light" w:cstheme="majorHAnsi" w:ascii="Arial" w:hAnsi="Arial"/>
                      <w:color w:val="auto"/>
                      <w:sz w:val="24"/>
                      <w:szCs w:val="24"/>
                      <w:lang w:eastAsia="pl-PL"/>
                    </w:rPr>
                  </w:r>
                </w:p>
              </w:tc>
              <w:tc>
                <w:tcPr>
                  <w:tcW w:w="512"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Aktualizacja</w:t>
                  </w:r>
                </w:p>
              </w:tc>
              <w:tc>
                <w:tcPr>
                  <w:tcW w:w="691"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Przychody</w:t>
                  </w:r>
                </w:p>
              </w:tc>
              <w:tc>
                <w:tcPr>
                  <w:tcW w:w="404"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Przemieszczenie</w:t>
                  </w:r>
                </w:p>
              </w:tc>
              <w:tc>
                <w:tcPr>
                  <w:tcW w:w="770"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Light" w:cstheme="majorHAnsi"/>
                      <w:color w:val="auto"/>
                      <w:sz w:val="24"/>
                      <w:szCs w:val="24"/>
                      <w:lang w:eastAsia="pl-PL"/>
                    </w:rPr>
                  </w:pPr>
                  <w:r>
                    <w:rPr>
                      <w:rFonts w:eastAsia="Times New Roman" w:cs="Calibri Light" w:cstheme="majorHAnsi" w:ascii="Arial" w:hAnsi="Arial"/>
                      <w:color w:val="auto"/>
                      <w:sz w:val="24"/>
                      <w:szCs w:val="24"/>
                      <w:lang w:eastAsia="pl-PL"/>
                    </w:rPr>
                  </w:r>
                </w:p>
              </w:tc>
              <w:tc>
                <w:tcPr>
                  <w:tcW w:w="477" w:type="dxa"/>
                  <w:gridSpan w:val="2"/>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Zbycie</w:t>
                  </w:r>
                </w:p>
              </w:tc>
              <w:tc>
                <w:tcPr>
                  <w:tcW w:w="67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Likwidacja</w:t>
                  </w:r>
                </w:p>
              </w:tc>
              <w:tc>
                <w:tcPr>
                  <w:tcW w:w="404" w:type="dxa"/>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Inne</w:t>
                  </w:r>
                </w:p>
              </w:tc>
              <w:tc>
                <w:tcPr>
                  <w:tcW w:w="75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Light" w:cstheme="majorHAnsi"/>
                      <w:color w:val="auto"/>
                      <w:sz w:val="24"/>
                      <w:szCs w:val="24"/>
                      <w:lang w:eastAsia="pl-PL"/>
                    </w:rPr>
                  </w:pPr>
                  <w:r>
                    <w:rPr>
                      <w:rFonts w:eastAsia="Times New Roman" w:cs="Calibri Light" w:cstheme="majorHAnsi" w:ascii="Arial" w:hAnsi="Arial"/>
                      <w:color w:val="auto"/>
                      <w:sz w:val="24"/>
                      <w:szCs w:val="24"/>
                      <w:lang w:eastAsia="pl-PL"/>
                    </w:rPr>
                  </w:r>
                </w:p>
              </w:tc>
              <w:tc>
                <w:tcPr>
                  <w:tcW w:w="8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Light" w:cstheme="majorHAnsi"/>
                      <w:color w:val="auto"/>
                      <w:sz w:val="24"/>
                      <w:szCs w:val="24"/>
                      <w:lang w:eastAsia="pl-PL"/>
                    </w:rPr>
                  </w:pPr>
                  <w:r>
                    <w:rPr>
                      <w:rFonts w:eastAsia="Times New Roman" w:cs="Calibri Light" w:cstheme="majorHAnsi" w:ascii="Arial" w:hAnsi="Arial"/>
                      <w:color w:val="auto"/>
                      <w:sz w:val="24"/>
                      <w:szCs w:val="24"/>
                      <w:lang w:eastAsia="pl-PL"/>
                    </w:rPr>
                  </w:r>
                </w:p>
              </w:tc>
              <w:tc>
                <w:tcPr>
                  <w:tcW w:w="87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Light" w:cstheme="majorHAnsi"/>
                      <w:color w:val="auto"/>
                      <w:sz w:val="24"/>
                      <w:szCs w:val="24"/>
                      <w:lang w:eastAsia="pl-PL"/>
                    </w:rPr>
                  </w:pPr>
                  <w:r>
                    <w:rPr>
                      <w:rFonts w:eastAsia="Times New Roman" w:cs="Calibri Light" w:cstheme="majorHAnsi" w:ascii="Arial" w:hAnsi="Arial"/>
                      <w:color w:val="auto"/>
                      <w:sz w:val="24"/>
                      <w:szCs w:val="24"/>
                      <w:lang w:eastAsia="pl-PL"/>
                    </w:rPr>
                  </w:r>
                </w:p>
              </w:tc>
              <w:tc>
                <w:tcPr>
                  <w:tcW w:w="513"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Aktualizacja</w:t>
                  </w:r>
                </w:p>
              </w:tc>
              <w:tc>
                <w:tcPr>
                  <w:tcW w:w="736"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Amortyzacja za rok obrotowy</w:t>
                  </w:r>
                </w:p>
              </w:tc>
              <w:tc>
                <w:tcPr>
                  <w:tcW w:w="519"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Inne</w:t>
                  </w:r>
                </w:p>
              </w:tc>
              <w:tc>
                <w:tcPr>
                  <w:tcW w:w="75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Light" w:cstheme="majorHAnsi"/>
                      <w:color w:val="auto"/>
                      <w:sz w:val="24"/>
                      <w:szCs w:val="24"/>
                      <w:lang w:eastAsia="pl-PL"/>
                    </w:rPr>
                  </w:pPr>
                  <w:r>
                    <w:rPr>
                      <w:rFonts w:eastAsia="Times New Roman" w:cs="Calibri Light" w:cstheme="majorHAnsi" w:ascii="Arial" w:hAnsi="Arial"/>
                      <w:color w:val="auto"/>
                      <w:sz w:val="24"/>
                      <w:szCs w:val="24"/>
                      <w:lang w:eastAsia="pl-PL"/>
                    </w:rPr>
                  </w:r>
                </w:p>
              </w:tc>
              <w:tc>
                <w:tcPr>
                  <w:tcW w:w="46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Light" w:cstheme="majorHAnsi"/>
                      <w:color w:val="auto"/>
                      <w:sz w:val="24"/>
                      <w:szCs w:val="24"/>
                      <w:lang w:eastAsia="pl-PL"/>
                    </w:rPr>
                  </w:pPr>
                  <w:r>
                    <w:rPr>
                      <w:rFonts w:eastAsia="Times New Roman" w:cs="Calibri Light" w:cstheme="majorHAnsi" w:ascii="Arial" w:hAnsi="Arial"/>
                      <w:color w:val="auto"/>
                      <w:sz w:val="24"/>
                      <w:szCs w:val="24"/>
                      <w:lang w:eastAsia="pl-PL"/>
                    </w:rPr>
                  </w:r>
                </w:p>
              </w:tc>
              <w:tc>
                <w:tcPr>
                  <w:tcW w:w="8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Light" w:cstheme="majorHAnsi"/>
                      <w:color w:val="auto"/>
                      <w:sz w:val="24"/>
                      <w:szCs w:val="24"/>
                      <w:lang w:eastAsia="pl-PL"/>
                    </w:rPr>
                  </w:pPr>
                  <w:r>
                    <w:rPr>
                      <w:rFonts w:eastAsia="Times New Roman" w:cs="Calibri Light" w:cstheme="majorHAnsi" w:ascii="Arial" w:hAnsi="Arial"/>
                      <w:color w:val="auto"/>
                      <w:sz w:val="24"/>
                      <w:szCs w:val="24"/>
                      <w:lang w:eastAsia="pl-PL"/>
                    </w:rPr>
                  </w:r>
                </w:p>
              </w:tc>
              <w:tc>
                <w:tcPr>
                  <w:tcW w:w="83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Stan na poczatek roku obrotowego                                                                                                                                                                           (3-13)</w:t>
                  </w:r>
                </w:p>
              </w:tc>
              <w:tc>
                <w:tcPr>
                  <w:tcW w:w="84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Stan na koniec roku obrotowego                                                                                                                                                                          (12-19)</w:t>
                  </w:r>
                </w:p>
              </w:tc>
            </w:tr>
            <w:tr>
              <w:trPr>
                <w:trHeight w:val="199" w:hRule="atLeast"/>
              </w:trPr>
              <w:tc>
                <w:tcPr>
                  <w:tcW w:w="46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1</w:t>
                  </w:r>
                </w:p>
              </w:tc>
              <w:tc>
                <w:tcPr>
                  <w:tcW w:w="92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2</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3</w:t>
                  </w:r>
                </w:p>
              </w:tc>
              <w:tc>
                <w:tcPr>
                  <w:tcW w:w="512"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4</w:t>
                  </w:r>
                </w:p>
              </w:tc>
              <w:tc>
                <w:tcPr>
                  <w:tcW w:w="69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5</w:t>
                  </w:r>
                </w:p>
              </w:tc>
              <w:tc>
                <w:tcPr>
                  <w:tcW w:w="40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6</w:t>
                  </w:r>
                </w:p>
              </w:tc>
              <w:tc>
                <w:tcPr>
                  <w:tcW w:w="7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7</w:t>
                  </w:r>
                </w:p>
              </w:tc>
              <w:tc>
                <w:tcPr>
                  <w:tcW w:w="477"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8</w:t>
                  </w:r>
                </w:p>
              </w:tc>
              <w:tc>
                <w:tcPr>
                  <w:tcW w:w="6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9</w:t>
                  </w:r>
                </w:p>
              </w:tc>
              <w:tc>
                <w:tcPr>
                  <w:tcW w:w="40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10</w:t>
                  </w:r>
                </w:p>
              </w:tc>
              <w:tc>
                <w:tcPr>
                  <w:tcW w:w="75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11</w:t>
                  </w:r>
                </w:p>
              </w:tc>
              <w:tc>
                <w:tcPr>
                  <w:tcW w:w="8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12</w:t>
                  </w:r>
                </w:p>
              </w:tc>
              <w:tc>
                <w:tcPr>
                  <w:tcW w:w="8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13</w:t>
                  </w:r>
                </w:p>
              </w:tc>
              <w:tc>
                <w:tcPr>
                  <w:tcW w:w="513"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14</w:t>
                  </w:r>
                </w:p>
              </w:tc>
              <w:tc>
                <w:tcPr>
                  <w:tcW w:w="73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15</w:t>
                  </w:r>
                </w:p>
              </w:tc>
              <w:tc>
                <w:tcPr>
                  <w:tcW w:w="51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16</w:t>
                  </w:r>
                </w:p>
              </w:tc>
              <w:tc>
                <w:tcPr>
                  <w:tcW w:w="7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17</w:t>
                  </w:r>
                </w:p>
              </w:tc>
              <w:tc>
                <w:tcPr>
                  <w:tcW w:w="4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18</w:t>
                  </w:r>
                </w:p>
              </w:tc>
              <w:tc>
                <w:tcPr>
                  <w:tcW w:w="8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19</w:t>
                  </w:r>
                </w:p>
              </w:tc>
              <w:tc>
                <w:tcPr>
                  <w:tcW w:w="83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20</w:t>
                  </w:r>
                </w:p>
              </w:tc>
              <w:tc>
                <w:tcPr>
                  <w:tcW w:w="84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i/>
                      <w:i/>
                      <w:iCs/>
                      <w:color w:val="000000"/>
                      <w:sz w:val="13"/>
                      <w:szCs w:val="13"/>
                      <w:lang w:eastAsia="pl-PL"/>
                    </w:rPr>
                  </w:pPr>
                  <w:r>
                    <w:rPr>
                      <w:rFonts w:eastAsia="Times New Roman" w:cs="Calibri Light" w:ascii="Arial" w:hAnsi="Arial" w:cstheme="majorHAnsi"/>
                      <w:i/>
                      <w:iCs/>
                      <w:color w:val="auto"/>
                      <w:sz w:val="24"/>
                      <w:szCs w:val="24"/>
                      <w:lang w:eastAsia="pl-PL"/>
                    </w:rPr>
                    <w:t>21</w:t>
                  </w:r>
                </w:p>
              </w:tc>
            </w:tr>
            <w:tr>
              <w:trPr>
                <w:trHeight w:val="810" w:hRule="atLeast"/>
              </w:trPr>
              <w:tc>
                <w:tcPr>
                  <w:tcW w:w="46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1.</w:t>
                  </w:r>
                </w:p>
              </w:tc>
              <w:tc>
                <w:tcPr>
                  <w:tcW w:w="92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Wartości niematerialne                          i prawne</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2 913,63</w:t>
                  </w:r>
                </w:p>
              </w:tc>
              <w:tc>
                <w:tcPr>
                  <w:tcW w:w="5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6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47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6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5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8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2 913,63</w:t>
                  </w:r>
                </w:p>
              </w:tc>
              <w:tc>
                <w:tcPr>
                  <w:tcW w:w="8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2 913,63</w:t>
                  </w:r>
                </w:p>
              </w:tc>
              <w:tc>
                <w:tcPr>
                  <w:tcW w:w="5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5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4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8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2 913,63</w:t>
                  </w:r>
                </w:p>
              </w:tc>
              <w:tc>
                <w:tcPr>
                  <w:tcW w:w="83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84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r>
            <w:tr>
              <w:trPr>
                <w:trHeight w:val="540" w:hRule="atLeast"/>
              </w:trPr>
              <w:tc>
                <w:tcPr>
                  <w:tcW w:w="46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2.</w:t>
                  </w:r>
                </w:p>
              </w:tc>
              <w:tc>
                <w:tcPr>
                  <w:tcW w:w="92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Środki trwałe</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18 700 628,36</w:t>
                  </w:r>
                </w:p>
              </w:tc>
              <w:tc>
                <w:tcPr>
                  <w:tcW w:w="5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6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571 213,90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571 213,90</w:t>
                  </w:r>
                </w:p>
              </w:tc>
              <w:tc>
                <w:tcPr>
                  <w:tcW w:w="47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6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5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8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19 271 842,26</w:t>
                  </w:r>
                </w:p>
              </w:tc>
              <w:tc>
                <w:tcPr>
                  <w:tcW w:w="8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6 010 820,30</w:t>
                  </w:r>
                </w:p>
              </w:tc>
              <w:tc>
                <w:tcPr>
                  <w:tcW w:w="5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411 570,88</w:t>
                  </w:r>
                </w:p>
              </w:tc>
              <w:tc>
                <w:tcPr>
                  <w:tcW w:w="5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411 570,88</w:t>
                  </w:r>
                </w:p>
              </w:tc>
              <w:tc>
                <w:tcPr>
                  <w:tcW w:w="4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8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6 422 391,18</w:t>
                  </w:r>
                </w:p>
              </w:tc>
              <w:tc>
                <w:tcPr>
                  <w:tcW w:w="83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12 689 808,06</w:t>
                  </w:r>
                </w:p>
              </w:tc>
              <w:tc>
                <w:tcPr>
                  <w:tcW w:w="84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12 849 451,08</w:t>
                  </w:r>
                </w:p>
              </w:tc>
            </w:tr>
            <w:tr>
              <w:trPr>
                <w:trHeight w:val="405" w:hRule="atLeast"/>
              </w:trPr>
              <w:tc>
                <w:tcPr>
                  <w:tcW w:w="46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1)</w:t>
                  </w:r>
                </w:p>
              </w:tc>
              <w:tc>
                <w:tcPr>
                  <w:tcW w:w="92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grunty</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2 526 320,00</w:t>
                  </w:r>
                </w:p>
              </w:tc>
              <w:tc>
                <w:tcPr>
                  <w:tcW w:w="5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6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7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6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5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2 526 320,00</w:t>
                  </w:r>
                </w:p>
              </w:tc>
              <w:tc>
                <w:tcPr>
                  <w:tcW w:w="8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 </w:t>
                  </w:r>
                </w:p>
              </w:tc>
              <w:tc>
                <w:tcPr>
                  <w:tcW w:w="5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 </w:t>
                  </w:r>
                </w:p>
              </w:tc>
              <w:tc>
                <w:tcPr>
                  <w:tcW w:w="7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 </w:t>
                  </w:r>
                </w:p>
              </w:tc>
              <w:tc>
                <w:tcPr>
                  <w:tcW w:w="5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 </w:t>
                  </w:r>
                </w:p>
              </w:tc>
              <w:tc>
                <w:tcPr>
                  <w:tcW w:w="7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 </w:t>
                  </w:r>
                </w:p>
              </w:tc>
              <w:tc>
                <w:tcPr>
                  <w:tcW w:w="8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3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2 526 320,00</w:t>
                  </w:r>
                </w:p>
              </w:tc>
              <w:tc>
                <w:tcPr>
                  <w:tcW w:w="84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2 526 320,00</w:t>
                  </w:r>
                </w:p>
              </w:tc>
            </w:tr>
            <w:tr>
              <w:trPr>
                <w:trHeight w:val="765" w:hRule="atLeast"/>
              </w:trPr>
              <w:tc>
                <w:tcPr>
                  <w:tcW w:w="46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2)</w:t>
                  </w:r>
                </w:p>
              </w:tc>
              <w:tc>
                <w:tcPr>
                  <w:tcW w:w="92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budynki, lokale i obiekty inżynierii lądowej i wodnej</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15 439 477,35</w:t>
                  </w:r>
                </w:p>
              </w:tc>
              <w:tc>
                <w:tcPr>
                  <w:tcW w:w="5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6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571 213,90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571 213,90</w:t>
                  </w:r>
                </w:p>
              </w:tc>
              <w:tc>
                <w:tcPr>
                  <w:tcW w:w="47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6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5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16 010 691,25</w:t>
                  </w:r>
                </w:p>
              </w:tc>
              <w:tc>
                <w:tcPr>
                  <w:tcW w:w="8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5 449 715,39</w:t>
                  </w:r>
                </w:p>
              </w:tc>
              <w:tc>
                <w:tcPr>
                  <w:tcW w:w="5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389 557,02</w:t>
                  </w:r>
                </w:p>
              </w:tc>
              <w:tc>
                <w:tcPr>
                  <w:tcW w:w="5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389 557,02</w:t>
                  </w:r>
                </w:p>
              </w:tc>
              <w:tc>
                <w:tcPr>
                  <w:tcW w:w="4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5 839 272,41</w:t>
                  </w:r>
                </w:p>
              </w:tc>
              <w:tc>
                <w:tcPr>
                  <w:tcW w:w="83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9 989 761,96</w:t>
                  </w:r>
                </w:p>
              </w:tc>
              <w:tc>
                <w:tcPr>
                  <w:tcW w:w="84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10 171 418,84</w:t>
                  </w:r>
                </w:p>
              </w:tc>
            </w:tr>
            <w:tr>
              <w:trPr>
                <w:trHeight w:val="765" w:hRule="atLeast"/>
              </w:trPr>
              <w:tc>
                <w:tcPr>
                  <w:tcW w:w="46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3)</w:t>
                  </w:r>
                </w:p>
              </w:tc>
              <w:tc>
                <w:tcPr>
                  <w:tcW w:w="92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urządzenia techniczne i maszyny</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259 307,25</w:t>
                  </w:r>
                </w:p>
              </w:tc>
              <w:tc>
                <w:tcPr>
                  <w:tcW w:w="5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6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7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6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5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259 307,25</w:t>
                  </w:r>
                </w:p>
              </w:tc>
              <w:tc>
                <w:tcPr>
                  <w:tcW w:w="8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113 316,19</w:t>
                  </w:r>
                </w:p>
              </w:tc>
              <w:tc>
                <w:tcPr>
                  <w:tcW w:w="5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16 372,83</w:t>
                  </w:r>
                </w:p>
              </w:tc>
              <w:tc>
                <w:tcPr>
                  <w:tcW w:w="5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16 372,83</w:t>
                  </w:r>
                </w:p>
              </w:tc>
              <w:tc>
                <w:tcPr>
                  <w:tcW w:w="4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129 689,02</w:t>
                  </w:r>
                </w:p>
              </w:tc>
              <w:tc>
                <w:tcPr>
                  <w:tcW w:w="83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145 991,06</w:t>
                  </w:r>
                </w:p>
              </w:tc>
              <w:tc>
                <w:tcPr>
                  <w:tcW w:w="84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129 618,23</w:t>
                  </w:r>
                </w:p>
              </w:tc>
            </w:tr>
            <w:tr>
              <w:trPr>
                <w:trHeight w:val="330" w:hRule="atLeast"/>
              </w:trPr>
              <w:tc>
                <w:tcPr>
                  <w:tcW w:w="46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4)</w:t>
                  </w:r>
                </w:p>
              </w:tc>
              <w:tc>
                <w:tcPr>
                  <w:tcW w:w="92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środki transportu</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5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6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7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6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5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5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5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3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4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r>
            <w:tr>
              <w:trPr>
                <w:trHeight w:val="510" w:hRule="atLeast"/>
              </w:trPr>
              <w:tc>
                <w:tcPr>
                  <w:tcW w:w="46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5)</w:t>
                  </w:r>
                </w:p>
              </w:tc>
              <w:tc>
                <w:tcPr>
                  <w:tcW w:w="92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inne środki trwałe</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475 523,76</w:t>
                  </w:r>
                </w:p>
              </w:tc>
              <w:tc>
                <w:tcPr>
                  <w:tcW w:w="5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6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7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6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5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475 523,76</w:t>
                  </w:r>
                </w:p>
              </w:tc>
              <w:tc>
                <w:tcPr>
                  <w:tcW w:w="8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447 788,72</w:t>
                  </w:r>
                </w:p>
              </w:tc>
              <w:tc>
                <w:tcPr>
                  <w:tcW w:w="5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5 641,03</w:t>
                  </w:r>
                </w:p>
              </w:tc>
              <w:tc>
                <w:tcPr>
                  <w:tcW w:w="5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7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5 641,03</w:t>
                  </w:r>
                </w:p>
              </w:tc>
              <w:tc>
                <w:tcPr>
                  <w:tcW w:w="4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0,00</w:t>
                  </w:r>
                </w:p>
              </w:tc>
              <w:tc>
                <w:tcPr>
                  <w:tcW w:w="8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453 429,75</w:t>
                  </w:r>
                </w:p>
              </w:tc>
              <w:tc>
                <w:tcPr>
                  <w:tcW w:w="83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27 735,04</w:t>
                  </w:r>
                </w:p>
              </w:tc>
              <w:tc>
                <w:tcPr>
                  <w:tcW w:w="84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color w:val="000000"/>
                      <w:sz w:val="13"/>
                      <w:szCs w:val="13"/>
                      <w:lang w:eastAsia="pl-PL"/>
                    </w:rPr>
                  </w:pPr>
                  <w:r>
                    <w:rPr>
                      <w:rFonts w:eastAsia="Times New Roman" w:cs="Calibri Light" w:ascii="Arial" w:hAnsi="Arial" w:cstheme="majorHAnsi"/>
                      <w:color w:val="auto"/>
                      <w:sz w:val="24"/>
                      <w:szCs w:val="24"/>
                      <w:lang w:eastAsia="pl-PL"/>
                    </w:rPr>
                    <w:t>22 094,01</w:t>
                  </w:r>
                </w:p>
              </w:tc>
            </w:tr>
            <w:tr>
              <w:trPr>
                <w:trHeight w:val="330" w:hRule="atLeast"/>
              </w:trPr>
              <w:tc>
                <w:tcPr>
                  <w:tcW w:w="46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i/>
                      <w:i/>
                      <w:iCs/>
                      <w:color w:val="000000"/>
                      <w:sz w:val="13"/>
                      <w:szCs w:val="13"/>
                      <w:lang w:eastAsia="pl-PL"/>
                    </w:rPr>
                  </w:pPr>
                  <w:r>
                    <w:rPr>
                      <w:rFonts w:eastAsia="Times New Roman" w:cs="Calibri Light" w:ascii="Arial" w:hAnsi="Arial" w:cstheme="majorHAnsi"/>
                      <w:b/>
                      <w:bCs/>
                      <w:i/>
                      <w:iCs/>
                      <w:color w:val="auto"/>
                      <w:sz w:val="24"/>
                      <w:szCs w:val="24"/>
                      <w:lang w:eastAsia="pl-PL"/>
                    </w:rPr>
                    <w:t> </w:t>
                  </w:r>
                </w:p>
              </w:tc>
              <w:tc>
                <w:tcPr>
                  <w:tcW w:w="927"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Light" w:cstheme="majorHAnsi"/>
                      <w:color w:val="FF0000"/>
                      <w:sz w:val="13"/>
                      <w:szCs w:val="13"/>
                      <w:lang w:eastAsia="pl-PL"/>
                    </w:rPr>
                  </w:pPr>
                  <w:r>
                    <w:rPr>
                      <w:rFonts w:eastAsia="Times New Roman" w:cs="Calibri Light" w:ascii="Arial" w:hAnsi="Arial" w:cstheme="majorHAnsi"/>
                      <w:color w:val="auto"/>
                      <w:sz w:val="24"/>
                      <w:szCs w:val="24"/>
                      <w:lang w:eastAsia="pl-PL"/>
                    </w:rPr>
                    <w:t> </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18 703 541,99</w:t>
                  </w:r>
                </w:p>
              </w:tc>
              <w:tc>
                <w:tcPr>
                  <w:tcW w:w="5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6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571 213,90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7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571 213,90</w:t>
                  </w:r>
                </w:p>
              </w:tc>
              <w:tc>
                <w:tcPr>
                  <w:tcW w:w="47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6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4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5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8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19 274 755,89</w:t>
                  </w:r>
                </w:p>
              </w:tc>
              <w:tc>
                <w:tcPr>
                  <w:tcW w:w="87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6 013 733,93</w:t>
                  </w:r>
                </w:p>
              </w:tc>
              <w:tc>
                <w:tcPr>
                  <w:tcW w:w="51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3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411 570,88</w:t>
                  </w:r>
                </w:p>
              </w:tc>
              <w:tc>
                <w:tcPr>
                  <w:tcW w:w="5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7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411 570,88</w:t>
                  </w:r>
                </w:p>
              </w:tc>
              <w:tc>
                <w:tcPr>
                  <w:tcW w:w="46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0,00</w:t>
                  </w:r>
                </w:p>
              </w:tc>
              <w:tc>
                <w:tcPr>
                  <w:tcW w:w="81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6 425 304,81</w:t>
                  </w:r>
                </w:p>
              </w:tc>
              <w:tc>
                <w:tcPr>
                  <w:tcW w:w="83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12 689 808,06</w:t>
                  </w:r>
                </w:p>
              </w:tc>
              <w:tc>
                <w:tcPr>
                  <w:tcW w:w="84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Light" w:cstheme="majorHAnsi"/>
                      <w:b/>
                      <w:b/>
                      <w:bCs/>
                      <w:color w:val="000000"/>
                      <w:sz w:val="13"/>
                      <w:szCs w:val="13"/>
                      <w:lang w:eastAsia="pl-PL"/>
                    </w:rPr>
                  </w:pPr>
                  <w:r>
                    <w:rPr>
                      <w:rFonts w:eastAsia="Times New Roman" w:cs="Calibri Light" w:ascii="Arial" w:hAnsi="Arial" w:cstheme="majorHAnsi"/>
                      <w:b/>
                      <w:bCs/>
                      <w:color w:val="auto"/>
                      <w:sz w:val="24"/>
                      <w:szCs w:val="24"/>
                      <w:lang w:eastAsia="pl-PL"/>
                    </w:rPr>
                    <w:t>12 849 451,08</w:t>
                  </w:r>
                </w:p>
              </w:tc>
            </w:tr>
          </w:tbl>
          <w:p>
            <w:pPr>
              <w:pStyle w:val="Normal"/>
              <w:spacing w:lineRule="auto" w:line="240" w:before="0" w:after="0"/>
              <w:rPr>
                <w:rFonts w:ascii="Arial" w:hAnsi="Arial" w:cs="Calibri Light" w:cstheme="majorHAnsi"/>
                <w:b/>
                <w:b/>
                <w:color w:val="auto"/>
                <w:sz w:val="24"/>
                <w:szCs w:val="24"/>
              </w:rPr>
            </w:pPr>
            <w:r>
              <w:rPr>
                <w:rFonts w:cs="Calibri Light" w:cstheme="majorHAnsi"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257 444,81</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inne informacje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Umorzenie pozostałych środków trwałych 3 889 196,78</w:t>
            </w:r>
          </w:p>
          <w:p>
            <w:pPr>
              <w:pStyle w:val="Normal"/>
              <w:spacing w:lineRule="auto" w:line="240" w:before="0" w:after="0"/>
              <w:rPr>
                <w:b/>
                <w:b/>
                <w:sz w:val="24"/>
                <w:szCs w:val="24"/>
              </w:rPr>
            </w:pPr>
            <w:r>
              <w:rPr>
                <w:rFonts w:ascii="Arial" w:hAnsi="Arial"/>
                <w:color w:val="auto"/>
                <w:sz w:val="24"/>
                <w:szCs w:val="24"/>
              </w:rPr>
              <w:t>Umorzenie środków bibliotecznych   107 839,60</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Cs/>
                <w:sz w:val="24"/>
                <w:szCs w:val="24"/>
              </w:rPr>
            </w:pPr>
            <w:r>
              <w:rPr>
                <w:rFonts w:ascii="Arial" w:hAnsi="Arial"/>
                <w:bCs/>
                <w:color w:val="auto"/>
                <w:sz w:val="24"/>
                <w:szCs w:val="24"/>
              </w:rPr>
              <w:t>Fundusz pomocy UKRAINIE 70 005,60</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 xml:space="preserve"> ………………………………………</w:t>
            </w:r>
            <w:r>
              <w:rPr>
                <w:rFonts w:ascii="Arial" w:hAnsi="Arial"/>
                <w:color w:val="auto"/>
                <w:position w:val="0"/>
                <w:sz w:val="24"/>
                <w:szCs w:val="24"/>
              </w:rPr>
              <w:t xml:space="preserve">..  </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Calibri Light">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58C9-35BF-43D8-A544-6DF8DBF7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Application>LibreOffice/6.2.3.2$Windows_x86 LibreOffice_project/aecc05fe267cc68dde00352a451aa867b3b546ac</Application>
  <Pages>11</Pages>
  <Words>3370</Words>
  <Characters>21686</Characters>
  <CharactersWithSpaces>25388</CharactersWithSpaces>
  <Paragraphs>413</Paragraphs>
  <Company>Zespół Szkół Muzycznych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2020-02-28T12:56:00Z</dcterms:created>
  <dc:creator>Marietta Ulatowska</dc:creator>
  <dc:description/>
  <cp:keywords>Informacja dodatkowa</cp:keywords>
  <dc:language>pl-PL</dc:language>
  <cp:lastModifiedBy/>
  <cp:lastPrinted>2025-02-26T10:12:00Z</cp:lastPrinted>
  <dcterms:modified xsi:type="dcterms:W3CDTF">2025-05-07T14:20:12Z</dcterms:modified>
  <cp:revision>36</cp:revision>
  <dc:subject/>
  <dc:title>ZSEL INFORMACJA DODATKOWA 2024 -wersja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Zespół Szkół Muzycznych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