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b/>
          <w:b/>
          <w:color w:val="2E2014"/>
          <w:sz w:val="24"/>
          <w:szCs w:val="24"/>
        </w:rPr>
      </w:pPr>
      <w:r>
        <w:rPr>
          <w:rFonts w:ascii="Arial" w:hAnsi="Arial"/>
          <w:b/>
          <w:color w:val="auto"/>
          <w:sz w:val="24"/>
          <w:szCs w:val="24"/>
        </w:rPr>
        <w:t>INFORMACJA  DODATKOWA</w:t>
      </w:r>
    </w:p>
    <w:p>
      <w:pPr>
        <w:pStyle w:val="Normal"/>
        <w:rPr>
          <w:rFonts w:ascii="Arial" w:hAnsi="Arial"/>
          <w:b/>
          <w:b/>
          <w:color w:val="auto"/>
          <w:sz w:val="24"/>
          <w:szCs w:val="24"/>
        </w:rPr>
      </w:pPr>
      <w:r>
        <w:rPr>
          <w:rFonts w:ascii="Arial" w:hAnsi="Arial"/>
          <w:b/>
          <w:color w:val="auto"/>
          <w:sz w:val="24"/>
          <w:szCs w:val="24"/>
        </w:rPr>
      </w:r>
    </w:p>
    <w:tbl>
      <w:tblPr>
        <w:tblStyle w:val="Tabela-Siatka"/>
        <w:tblW w:w="15134" w:type="dxa"/>
        <w:jc w:val="left"/>
        <w:tblInd w:w="0" w:type="dxa"/>
        <w:tblCellMar>
          <w:top w:w="0" w:type="dxa"/>
          <w:left w:w="108" w:type="dxa"/>
          <w:bottom w:w="0" w:type="dxa"/>
          <w:right w:w="108" w:type="dxa"/>
        </w:tblCellMar>
        <w:tblLook w:firstRow="1" w:noVBand="1" w:lastRow="0" w:firstColumn="1" w:lastColumn="0" w:noHBand="0" w:val="04a0"/>
      </w:tblPr>
      <w:tblGrid>
        <w:gridCol w:w="703"/>
        <w:gridCol w:w="14430"/>
      </w:tblGrid>
      <w:tr>
        <w:trPr/>
        <w:tc>
          <w:tcPr>
            <w:tcW w:w="703"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430"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703"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43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703"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430"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703"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43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 xml:space="preserve">III Liceum Ogólnokształcące im. Marii Konopnickiej </w:t>
            </w:r>
          </w:p>
        </w:tc>
      </w:tr>
      <w:tr>
        <w:trPr/>
        <w:tc>
          <w:tcPr>
            <w:tcW w:w="703"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430"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703"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43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Stanisława Bechiego 1   87-800 Włocławek</w:t>
            </w:r>
          </w:p>
        </w:tc>
      </w:tr>
      <w:tr>
        <w:trPr/>
        <w:tc>
          <w:tcPr>
            <w:tcW w:w="703"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430"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703"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43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Stanisława Bechiego 1 15  87-800 Włocławek</w:t>
            </w:r>
          </w:p>
        </w:tc>
      </w:tr>
      <w:tr>
        <w:trPr/>
        <w:tc>
          <w:tcPr>
            <w:tcW w:w="703"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430"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70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430" w:type="dxa"/>
            <w:tcBorders/>
            <w:shd w:fill="auto" w:val="clear"/>
          </w:tcPr>
          <w:p>
            <w:pPr>
              <w:pStyle w:val="Normal"/>
              <w:spacing w:lineRule="auto" w:line="240" w:before="0" w:after="0"/>
              <w:rPr>
                <w:rFonts w:ascii="Arial" w:hAnsi="Arial"/>
                <w:color w:val="auto"/>
                <w:sz w:val="24"/>
                <w:szCs w:val="24"/>
              </w:rPr>
            </w:pPr>
            <w:r>
              <w:rPr>
                <w:rFonts w:cs="TimesNewRomanPSMT" w:ascii="Arial" w:hAnsi="Arial"/>
                <w:color w:val="auto"/>
                <w:sz w:val="24"/>
                <w:szCs w:val="24"/>
              </w:rPr>
              <w:t>Podstawę prawną działalności III Liceum Ogólnokształcącego im. Marii Konopnickiej we Włocławku stanowi ustawa z dnia 14 grudnia 2016 r. Prawo Oświatowe (tekst jednolity Dz.U. z 2017 r. poz. 59) oraz wydane do niej przepisy wykonawcze oraz Statut III Liceum Ogólnokształcącego   im. Marii Konopnickiej we Włocławku</w:t>
            </w:r>
          </w:p>
        </w:tc>
      </w:tr>
      <w:tr>
        <w:trPr/>
        <w:tc>
          <w:tcPr>
            <w:tcW w:w="703"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430"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70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430"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2024 -31 grudnia 2024</w:t>
            </w:r>
          </w:p>
        </w:tc>
      </w:tr>
      <w:tr>
        <w:trPr/>
        <w:tc>
          <w:tcPr>
            <w:tcW w:w="703"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430"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70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43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703"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430"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703"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430" w:type="dxa"/>
            <w:tcBorders/>
            <w:shd w:fill="auto" w:val="clear"/>
          </w:tcPr>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Należności wycenia się w kwocie wymagalnej zapłaty z zachowaniem zasady ostrożności.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Zobowiązania wycenia się w kwocie wymagającej zapłaty.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Rezerwy wycenia się w uzasadnionej, wiarygodnie oszacowanej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3"/>
              </w:numPr>
              <w:spacing w:lineRule="auto" w:line="240" w:before="0" w:after="0"/>
              <w:jc w:val="both"/>
              <w:rPr>
                <w:rFonts w:ascii="Arial Narrow" w:hAnsi="Arial Narrow" w:cs="Calibri" w:cstheme="minorHAnsi"/>
              </w:rPr>
            </w:pPr>
            <w:r>
              <w:rPr>
                <w:rFonts w:cs="Calibri" w:ascii="Arial" w:hAnsi="Arial" w:cstheme="minorHAnsi"/>
                <w:b/>
                <w:color w:val="auto"/>
                <w:sz w:val="24"/>
                <w:szCs w:val="24"/>
              </w:rPr>
              <w:t>II</w:t>
            </w:r>
            <w:r>
              <w:rPr>
                <w:rFonts w:cs="Calibri" w:ascii="Arial" w:hAnsi="Arial" w:cstheme="minorHAnsi"/>
                <w:color w:val="auto"/>
                <w:sz w:val="24"/>
                <w:szCs w:val="24"/>
              </w:rPr>
              <w:t>. 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w:hAnsi="Arial"/>
                <w:color w:val="auto"/>
                <w:sz w:val="24"/>
                <w:szCs w:val="24"/>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rmal"/>
              <w:numPr>
                <w:ilvl w:val="0"/>
                <w:numId w:val="4"/>
              </w:numPr>
              <w:spacing w:lineRule="auto" w:line="240" w:before="0" w:after="0"/>
              <w:rPr>
                <w:rFonts w:ascii="Arial" w:hAnsi="Arial"/>
                <w:color w:val="auto"/>
                <w:sz w:val="24"/>
                <w:szCs w:val="24"/>
              </w:rPr>
            </w:pPr>
            <w:r>
              <w:rPr>
                <w:rFonts w:cs="Calibri" w:ascii="Arial" w:hAnsi="Arial" w:cstheme="minorHAnsi"/>
                <w:color w:val="auto"/>
                <w:sz w:val="24"/>
                <w:szCs w:val="24"/>
              </w:rPr>
              <w:t>Środki dydaktyczne służące procesowi dydaktyczno-wychowawczemu realizowanemu w szkołach i placówkach oświatowych.</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Meble, dywany i wykładziny.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Najkrótszym okresem sprawozdawczym są poszczególne miesiące.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wewnętrznych – (dotyczące operacji wewnątrz jednostki).</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działów i rozdziałów – określających rodzaj działalności,</w:t>
            </w:r>
          </w:p>
          <w:p>
            <w:pPr>
              <w:pStyle w:val="Normal"/>
              <w:numPr>
                <w:ilvl w:val="0"/>
                <w:numId w:val="0"/>
              </w:numPr>
              <w:spacing w:lineRule="auto" w:line="240" w:before="0" w:after="0"/>
              <w:ind w:left="720" w:hanging="0"/>
              <w:rPr>
                <w:rFonts w:ascii="Arial Narrow" w:hAnsi="Arial Narrow" w:cs="Calibri" w:cstheme="minorHAnsi"/>
              </w:rPr>
            </w:pPr>
            <w:r>
              <w:rPr>
                <w:rFonts w:cs="Calibri" w:ascii="Arial" w:hAnsi="Arial" w:cstheme="minorHAnsi"/>
                <w:color w:val="auto"/>
                <w:sz w:val="24"/>
                <w:szCs w:val="24"/>
              </w:rPr>
              <w:t>-  paragrafów - określających rodzaj dochodu lub wydatku, zgodnie z obowiązującą klasyfikacją budżetową,</w:t>
            </w:r>
          </w:p>
          <w:p>
            <w:pPr>
              <w:pStyle w:val="Normal"/>
              <w:numPr>
                <w:ilvl w:val="0"/>
                <w:numId w:val="0"/>
              </w:numPr>
              <w:spacing w:lineRule="auto" w:line="240" w:before="0" w:after="0"/>
              <w:ind w:left="720" w:hanging="0"/>
              <w:rPr>
                <w:rFonts w:ascii="Arial Narrow" w:hAnsi="Arial Narrow" w:cs="Calibri" w:cstheme="minorHAnsi"/>
              </w:rPr>
            </w:pPr>
            <w:r>
              <w:rPr>
                <w:rFonts w:cs="Calibri" w:ascii="Arial" w:hAnsi="Arial" w:cstheme="minorHAnsi"/>
                <w:color w:val="auto"/>
                <w:sz w:val="24"/>
                <w:szCs w:val="24"/>
              </w:rPr>
              <w:t>-  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w sposób celowy i oszczędny,</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umożliwiający terminową realizację zadań,</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w wysokości i terminach wynikających z wcześniej zaciągniętych zobowiązań,</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zgodnie z zasadami określonymi w przepisach o zamówieniach publicznych,</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1"/>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1"/>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1"/>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1"/>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1"/>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1"/>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1"/>
              </w:numPr>
              <w:spacing w:lineRule="auto" w:line="240" w:before="0" w:after="160"/>
              <w:contextualSpacing/>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1"/>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2"/>
              </w:numPr>
              <w:spacing w:lineRule="auto" w:line="240" w:before="0" w:after="0"/>
              <w:rPr>
                <w:rFonts w:ascii="Arial" w:hAnsi="Arial"/>
                <w:color w:val="auto"/>
                <w:sz w:val="24"/>
                <w:szCs w:val="24"/>
              </w:rPr>
            </w:pPr>
            <w:r>
              <w:rPr>
                <w:rFonts w:eastAsia="Times New Roman" w:cs="Segoe UI" w:ascii="Arial" w:hAnsi="Arial"/>
                <w:color w:val="auto"/>
                <w:sz w:val="24"/>
                <w:szCs w:val="24"/>
                <w:lang w:eastAsia="pl-PL"/>
              </w:rPr>
              <w:t xml:space="preserve"> </w:t>
            </w:r>
            <w:r>
              <w:rPr>
                <w:rFonts w:eastAsia="Times New Roman" w:cs="Segoe UI" w:ascii="Arial" w:hAnsi="Arial"/>
                <w:color w:val="auto"/>
                <w:sz w:val="24"/>
                <w:szCs w:val="24"/>
                <w:lang w:eastAsia="pl-PL"/>
              </w:rPr>
              <w:t>Rozliczenia z tytułu VAT.</w:t>
            </w:r>
          </w:p>
          <w:p>
            <w:pPr>
              <w:pStyle w:val="Normal"/>
              <w:numPr>
                <w:ilvl w:val="0"/>
                <w:numId w:val="13"/>
              </w:numPr>
              <w:spacing w:lineRule="auto" w:line="240" w:before="0" w:after="0"/>
              <w:rPr/>
            </w:pPr>
            <w:r>
              <w:rPr>
                <w:rFonts w:eastAsia="Times New Roman" w:cs="Segoe UI"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Normal"/>
              <w:numPr>
                <w:ilvl w:val="0"/>
                <w:numId w:val="0"/>
              </w:numPr>
              <w:spacing w:lineRule="auto" w:line="240" w:before="0" w:after="0"/>
              <w:ind w:left="720" w:hanging="0"/>
              <w:rPr>
                <w:rFonts w:ascii="Arial" w:hAnsi="Arial"/>
                <w:color w:val="auto"/>
                <w:sz w:val="24"/>
                <w:szCs w:val="24"/>
              </w:rPr>
            </w:pPr>
            <w:r>
              <w:rPr>
                <w:rFonts w:eastAsia="Times New Roman" w:cs="Segoe UI" w:ascii="Arial" w:hAnsi="Arial"/>
                <w:color w:val="auto"/>
                <w:sz w:val="24"/>
                <w:szCs w:val="24"/>
                <w:lang w:eastAsia="pl-PL"/>
              </w:rPr>
              <w:t>W celu realizacji MPP (Mechanizm Podzielonej Płatności)wydzielono w księgach rachunkowych dodatkowe konta analityczne " VAT".</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 xml:space="preserve"> </w:t>
            </w: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16"/>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Vulcan aplikacja Finanse VULCAN wersja zgodna z aktualizacjami programu - firma Vulcan Sp.z o.o. ul. Wołowska 6, 51-116 Wrocław. Administratorem platformy systemu Vulcan jest Gmina Miasto Włocławek. </w:t>
            </w:r>
          </w:p>
        </w:tc>
      </w:tr>
      <w:tr>
        <w:trPr/>
        <w:tc>
          <w:tcPr>
            <w:tcW w:w="703"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430"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703"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703"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430"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703"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43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703"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430"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rHeight w:val="132" w:hRule="atLeast"/>
        </w:trPr>
        <w:tc>
          <w:tcPr>
            <w:tcW w:w="703"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shd w:fill="auto" w:val="clear"/>
          </w:tcPr>
          <w:tbl>
            <w:tblPr>
              <w:tblW w:w="14323" w:type="dxa"/>
              <w:jc w:val="left"/>
              <w:tblInd w:w="0" w:type="dxa"/>
              <w:tblCellMar>
                <w:top w:w="0" w:type="dxa"/>
                <w:left w:w="70" w:type="dxa"/>
                <w:bottom w:w="0" w:type="dxa"/>
                <w:right w:w="70" w:type="dxa"/>
              </w:tblCellMar>
              <w:tblLook w:firstRow="1" w:noVBand="1" w:lastRow="0" w:firstColumn="1" w:lastColumn="0" w:noHBand="0" w:val="04a0"/>
            </w:tblPr>
            <w:tblGrid>
              <w:gridCol w:w="315"/>
              <w:gridCol w:w="912"/>
              <w:gridCol w:w="783"/>
              <w:gridCol w:w="424"/>
              <w:gridCol w:w="433"/>
              <w:gridCol w:w="424"/>
              <w:gridCol w:w="1"/>
              <w:gridCol w:w="565"/>
              <w:gridCol w:w="1"/>
              <w:gridCol w:w="564"/>
              <w:gridCol w:w="709"/>
              <w:gridCol w:w="424"/>
              <w:gridCol w:w="3"/>
              <w:gridCol w:w="693"/>
              <w:gridCol w:w="3"/>
              <w:gridCol w:w="987"/>
              <w:gridCol w:w="3"/>
              <w:gridCol w:w="848"/>
              <w:gridCol w:w="3"/>
              <w:gridCol w:w="561"/>
              <w:gridCol w:w="706"/>
              <w:gridCol w:w="585"/>
              <w:gridCol w:w="4"/>
              <w:gridCol w:w="685"/>
              <w:gridCol w:w="4"/>
              <w:gridCol w:w="723"/>
              <w:gridCol w:w="5"/>
              <w:gridCol w:w="786"/>
              <w:gridCol w:w="4"/>
              <w:gridCol w:w="1138"/>
              <w:gridCol w:w="984"/>
              <w:gridCol w:w="4"/>
              <w:gridCol w:w="34"/>
            </w:tblGrid>
            <w:tr>
              <w:trPr>
                <w:trHeight w:val="397" w:hRule="atLeast"/>
              </w:trPr>
              <w:tc>
                <w:tcPr>
                  <w:tcW w:w="14318" w:type="dxa"/>
                  <w:gridSpan w:val="33"/>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u w:val="single"/>
                      <w:lang w:eastAsia="pl-PL"/>
                    </w:rPr>
                  </w:pPr>
                  <w:r>
                    <w:rPr>
                      <w:rFonts w:eastAsia="Times New Roman" w:cs="Calibri" w:ascii="Arial" w:hAnsi="Arial"/>
                      <w:b/>
                      <w:bCs/>
                      <w:color w:val="auto"/>
                      <w:sz w:val="24"/>
                      <w:szCs w:val="24"/>
                      <w:u w:val="single"/>
                      <w:lang w:eastAsia="pl-PL"/>
                    </w:rPr>
                    <w:t xml:space="preserve">Główne składniki aktywów trwałych - </w:t>
                  </w:r>
                </w:p>
              </w:tc>
            </w:tr>
            <w:tr>
              <w:trPr>
                <w:trHeight w:val="553" w:hRule="atLeast"/>
              </w:trPr>
              <w:tc>
                <w:tcPr>
                  <w:tcW w:w="31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Lp.</w:t>
                  </w:r>
                </w:p>
              </w:tc>
              <w:tc>
                <w:tcPr>
                  <w:tcW w:w="91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Nazwa grupy rodzajowej składnika aktywów trwałych</w:t>
                  </w:r>
                </w:p>
              </w:tc>
              <w:tc>
                <w:tcPr>
                  <w:tcW w:w="7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poczatkowa - stan na poczatek roku obrotowego</w:t>
                  </w:r>
                </w:p>
              </w:tc>
              <w:tc>
                <w:tcPr>
                  <w:tcW w:w="1282"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Zwiększenie wartości poczatkowej</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zwiększenie wartości początkowej (4+5+6)</w:t>
                  </w:r>
                </w:p>
              </w:tc>
              <w:tc>
                <w:tcPr>
                  <w:tcW w:w="1700"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Zmniejszenie wartości początkowej</w:t>
                  </w:r>
                </w:p>
              </w:tc>
              <w:tc>
                <w:tcPr>
                  <w:tcW w:w="69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zmniejszenie wartości poczatkowej                                                                                                                              (8+9+10)</w:t>
                  </w:r>
                </w:p>
              </w:tc>
              <w:tc>
                <w:tcPr>
                  <w:tcW w:w="9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poczatkowa - stan na koniec roku obrotowego                                                                                                                                           (3+7-11)</w:t>
                  </w:r>
                </w:p>
              </w:tc>
              <w:tc>
                <w:tcPr>
                  <w:tcW w:w="851"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Umorzenie - stan na początek roku obrotowego</w:t>
                  </w:r>
                </w:p>
              </w:tc>
              <w:tc>
                <w:tcPr>
                  <w:tcW w:w="1856"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Zwiększenia w ciągu roku obrotowego</w:t>
                  </w:r>
                </w:p>
              </w:tc>
              <w:tc>
                <w:tcPr>
                  <w:tcW w:w="6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zwiększenie umorzenia (14+15+16)</w:t>
                  </w:r>
                </w:p>
              </w:tc>
              <w:tc>
                <w:tcPr>
                  <w:tcW w:w="728"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Zmniejszenie umorzenia</w:t>
                  </w:r>
                </w:p>
              </w:tc>
              <w:tc>
                <w:tcPr>
                  <w:tcW w:w="7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Umorzenie - stan na koniec roku obrotowego                                                                                                 (13+17-18)</w:t>
                  </w:r>
                </w:p>
              </w:tc>
              <w:tc>
                <w:tcPr>
                  <w:tcW w:w="2126"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netto składników aktywów</w:t>
                  </w:r>
                </w:p>
              </w:tc>
              <w:tc>
                <w:tcPr>
                  <w:tcW w:w="34"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1841" w:hRule="atLeast"/>
              </w:trPr>
              <w:tc>
                <w:tcPr>
                  <w:tcW w:w="3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1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8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4"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Aktualizacja</w:t>
                  </w:r>
                </w:p>
              </w:tc>
              <w:tc>
                <w:tcPr>
                  <w:tcW w:w="433"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Przychody</w:t>
                  </w:r>
                </w:p>
              </w:tc>
              <w:tc>
                <w:tcPr>
                  <w:tcW w:w="424"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Przemieszczenie</w:t>
                  </w:r>
                </w:p>
              </w:tc>
              <w:tc>
                <w:tcPr>
                  <w:tcW w:w="566"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65" w:type="dxa"/>
                  <w:gridSpan w:val="2"/>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Zbycie</w:t>
                  </w:r>
                </w:p>
              </w:tc>
              <w:tc>
                <w:tcPr>
                  <w:tcW w:w="70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Likwidacja</w:t>
                  </w:r>
                </w:p>
              </w:tc>
              <w:tc>
                <w:tcPr>
                  <w:tcW w:w="424"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w:t>
                  </w:r>
                  <w:bookmarkStart w:id="0" w:name="_GoBack"/>
                  <w:bookmarkEnd w:id="0"/>
                  <w:r>
                    <w:rPr>
                      <w:rFonts w:eastAsia="Times New Roman" w:cs="Calibri" w:ascii="Arial" w:hAnsi="Arial"/>
                      <w:color w:val="auto"/>
                      <w:sz w:val="24"/>
                      <w:szCs w:val="24"/>
                      <w:lang w:eastAsia="pl-PL"/>
                    </w:rPr>
                    <w:t>e</w:t>
                  </w:r>
                </w:p>
              </w:tc>
              <w:tc>
                <w:tcPr>
                  <w:tcW w:w="696"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0"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5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64"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Aktualizacja</w:t>
                  </w:r>
                </w:p>
              </w:tc>
              <w:tc>
                <w:tcPr>
                  <w:tcW w:w="706"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Amortyzacja za rok obrotowy</w:t>
                  </w:r>
                </w:p>
              </w:tc>
              <w:tc>
                <w:tcPr>
                  <w:tcW w:w="585"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Inne</w:t>
                  </w:r>
                </w:p>
              </w:tc>
              <w:tc>
                <w:tcPr>
                  <w:tcW w:w="68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27"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9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Stan na poczatek roku obrotowego                                                                                                                                                                           (3-13)</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Stan na koniec roku obrotowego                                                                                                                                                                          (12-19)</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215"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w:t>
                  </w:r>
                </w:p>
              </w:tc>
              <w:tc>
                <w:tcPr>
                  <w:tcW w:w="91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3</w:t>
                  </w:r>
                </w:p>
              </w:tc>
              <w:tc>
                <w:tcPr>
                  <w:tcW w:w="42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4</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5</w:t>
                  </w:r>
                </w:p>
              </w:tc>
              <w:tc>
                <w:tcPr>
                  <w:tcW w:w="42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6</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7</w:t>
                  </w:r>
                </w:p>
              </w:tc>
              <w:tc>
                <w:tcPr>
                  <w:tcW w:w="56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8</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9</w:t>
                  </w:r>
                </w:p>
              </w:tc>
              <w:tc>
                <w:tcPr>
                  <w:tcW w:w="42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11</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12</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13</w:t>
                  </w:r>
                </w:p>
              </w:tc>
              <w:tc>
                <w:tcPr>
                  <w:tcW w:w="564"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14</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15</w:t>
                  </w:r>
                </w:p>
              </w:tc>
              <w:tc>
                <w:tcPr>
                  <w:tcW w:w="58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16</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17</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18</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19</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21</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782"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w:t>
                  </w:r>
                </w:p>
              </w:tc>
              <w:tc>
                <w:tcPr>
                  <w:tcW w:w="9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Wartości niematerialne                          i prawne</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18 666,16</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18 666,16</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18 666,16</w:t>
                  </w:r>
                </w:p>
              </w:tc>
              <w:tc>
                <w:tcPr>
                  <w:tcW w:w="5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8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18 666,16</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586"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w:t>
                  </w:r>
                </w:p>
              </w:tc>
              <w:tc>
                <w:tcPr>
                  <w:tcW w:w="9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Środki trwałe</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20 308 744,37</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90.939,70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90.939,70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20 217 804,67</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8 358 703,97</w:t>
                  </w:r>
                </w:p>
              </w:tc>
              <w:tc>
                <w:tcPr>
                  <w:tcW w:w="5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518 175,62</w:t>
                  </w:r>
                </w:p>
              </w:tc>
              <w:tc>
                <w:tcPr>
                  <w:tcW w:w="58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518 175,62</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90 939,70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8 785 939,89</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11 950 040,40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11 431 864,78</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439"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w:t>
                  </w:r>
                </w:p>
              </w:tc>
              <w:tc>
                <w:tcPr>
                  <w:tcW w:w="9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grunty</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973 400,00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973 400,00</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5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58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973 400,00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973 400,00</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782"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w:t>
                  </w:r>
                </w:p>
              </w:tc>
              <w:tc>
                <w:tcPr>
                  <w:tcW w:w="9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budynki, lokale i obiekty inżynierii lądowej i wodnej</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18 994 207,05</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18 994 207,05</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8 067 606,27</w:t>
                  </w:r>
                </w:p>
              </w:tc>
              <w:tc>
                <w:tcPr>
                  <w:tcW w:w="5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493 155,87</w:t>
                  </w:r>
                </w:p>
              </w:tc>
              <w:tc>
                <w:tcPr>
                  <w:tcW w:w="58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493 155,87</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8 560 762,14</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10 926 600,78</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10 433 444,91</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520"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w:t>
                  </w:r>
                </w:p>
              </w:tc>
              <w:tc>
                <w:tcPr>
                  <w:tcW w:w="9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urządzenia techniczne i maszyny</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331 867,76</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81 670,14</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81670,14</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250 197,62</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281 828,14</w:t>
                  </w:r>
                </w:p>
              </w:tc>
              <w:tc>
                <w:tcPr>
                  <w:tcW w:w="5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25 019,75</w:t>
                  </w:r>
                </w:p>
              </w:tc>
              <w:tc>
                <w:tcPr>
                  <w:tcW w:w="58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25 019,75</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81 670,14</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225 177,75</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50 039,62</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25 019,87</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260"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4)</w:t>
                  </w:r>
                </w:p>
              </w:tc>
              <w:tc>
                <w:tcPr>
                  <w:tcW w:w="9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środki transportu</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8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260"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w:t>
                  </w:r>
                </w:p>
              </w:tc>
              <w:tc>
                <w:tcPr>
                  <w:tcW w:w="9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inne środki trwałe</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9 269,56</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9 269,56</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9269,56</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9 269,56</w:t>
                  </w:r>
                </w:p>
              </w:tc>
              <w:tc>
                <w:tcPr>
                  <w:tcW w:w="5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8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9 269,56</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260" w:hRule="atLeast"/>
              </w:trPr>
              <w:tc>
                <w:tcPr>
                  <w:tcW w:w="31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2"/>
                      <w:szCs w:val="12"/>
                      <w:lang w:eastAsia="pl-PL"/>
                    </w:rPr>
                  </w:pPr>
                  <w:r>
                    <w:rPr>
                      <w:rFonts w:eastAsia="Times New Roman" w:cs="Calibri" w:ascii="Arial" w:hAnsi="Arial"/>
                      <w:b/>
                      <w:bCs/>
                      <w:i/>
                      <w:iCs/>
                      <w:color w:val="auto"/>
                      <w:sz w:val="24"/>
                      <w:szCs w:val="24"/>
                      <w:lang w:eastAsia="pl-PL"/>
                    </w:rPr>
                    <w:t> </w:t>
                  </w:r>
                </w:p>
              </w:tc>
              <w:tc>
                <w:tcPr>
                  <w:tcW w:w="912"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7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20 327 410,53</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43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90 939,70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90939,70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20 236 470,83</w:t>
                  </w:r>
                </w:p>
              </w:tc>
              <w:tc>
                <w:tcPr>
                  <w:tcW w:w="85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8 377 370,13</w:t>
                  </w:r>
                </w:p>
              </w:tc>
              <w:tc>
                <w:tcPr>
                  <w:tcW w:w="5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518 175,62</w:t>
                  </w:r>
                </w:p>
              </w:tc>
              <w:tc>
                <w:tcPr>
                  <w:tcW w:w="58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8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518 175,62</w:t>
                  </w:r>
                </w:p>
              </w:tc>
              <w:tc>
                <w:tcPr>
                  <w:tcW w:w="7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90 939,70</w:t>
                  </w:r>
                </w:p>
              </w:tc>
              <w:tc>
                <w:tcPr>
                  <w:tcW w:w="7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8 804 606,05</w:t>
                  </w:r>
                </w:p>
              </w:tc>
              <w:tc>
                <w:tcPr>
                  <w:tcW w:w="114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11 950 040,40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11 431 864,78</w:t>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260" w:hRule="atLeast"/>
              </w:trPr>
              <w:tc>
                <w:tcPr>
                  <w:tcW w:w="315" w:type="dxa"/>
                  <w:tcBorders/>
                  <w:shd w:color="auto" w:fill="auto" w:val="clear"/>
                  <w:vAlign w:val="bottom"/>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91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83"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33"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5"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9"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9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90"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51"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6"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8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89"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27"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91"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142"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8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130" w:hRule="atLeast"/>
              </w:trPr>
              <w:tc>
                <w:tcPr>
                  <w:tcW w:w="31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1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83"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33"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5"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9"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9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90"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51"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6"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8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89"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27"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91"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142"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8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260" w:hRule="atLeast"/>
              </w:trPr>
              <w:tc>
                <w:tcPr>
                  <w:tcW w:w="31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1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83" w:type="dxa"/>
                  <w:tcBorders/>
                  <w:shd w:color="auto" w:fill="auto" w:val="clear"/>
                  <w:vAlign w:val="bottom"/>
                </w:tcPr>
                <w:p>
                  <w:pPr>
                    <w:pStyle w:val="Normal"/>
                    <w:spacing w:lineRule="auto" w:line="240" w:before="0" w:after="0"/>
                    <w:jc w:val="center"/>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33"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5"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9"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9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90"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51"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6"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8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89"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27"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91"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142"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8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38"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bl>
          <w:p>
            <w:pPr>
              <w:pStyle w:val="Normal"/>
              <w:spacing w:before="0" w:after="0"/>
              <w:rPr>
                <w:rFonts w:ascii="Arial" w:hAnsi="Arial"/>
                <w:b/>
                <w:b/>
                <w:color w:val="auto"/>
                <w:sz w:val="24"/>
                <w:szCs w:val="24"/>
              </w:rPr>
            </w:pPr>
            <w:r>
              <w:rPr>
                <w:rFonts w:ascii="Arial" w:hAnsi="Arial"/>
                <w:b/>
                <w:color w:val="auto"/>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169.094,69 zł</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color w:val="2E2014"/>
                <w:sz w:val="20"/>
                <w:szCs w:val="20"/>
              </w:rPr>
            </w:pPr>
            <w:r>
              <w:rPr>
                <w:rFonts w:ascii="Arial" w:hAnsi="Arial"/>
                <w:color w:val="auto"/>
                <w:sz w:val="24"/>
                <w:szCs w:val="24"/>
              </w:rPr>
              <w:t xml:space="preserve">inne informacje: </w:t>
            </w:r>
          </w:p>
          <w:p>
            <w:pPr>
              <w:pStyle w:val="Normal"/>
              <w:widowControl w:val="false"/>
              <w:spacing w:lineRule="auto" w:line="240" w:before="47" w:after="160"/>
              <w:ind w:right="-20" w:hanging="0"/>
              <w:rPr>
                <w:color w:val="2E2014"/>
                <w:sz w:val="20"/>
                <w:szCs w:val="20"/>
              </w:rPr>
            </w:pPr>
            <w:r>
              <w:rPr>
                <w:rFonts w:ascii="Arial" w:hAnsi="Arial"/>
                <w:color w:val="auto"/>
                <w:sz w:val="24"/>
                <w:szCs w:val="24"/>
              </w:rPr>
              <w:t>- umorzenie pozostałych środków trwałych – 1.499.181,58 zł</w:t>
            </w:r>
          </w:p>
          <w:p>
            <w:pPr>
              <w:pStyle w:val="Normal"/>
              <w:widowControl w:val="false"/>
              <w:spacing w:lineRule="auto" w:line="240" w:before="47" w:after="160"/>
              <w:ind w:right="-20" w:hanging="0"/>
              <w:rPr>
                <w:color w:val="2E2014"/>
                <w:sz w:val="20"/>
                <w:szCs w:val="20"/>
              </w:rPr>
            </w:pPr>
            <w:r>
              <w:rPr>
                <w:rFonts w:ascii="Arial" w:hAnsi="Arial"/>
                <w:color w:val="auto"/>
                <w:sz w:val="24"/>
                <w:szCs w:val="24"/>
              </w:rPr>
              <w:t>-umorzenie zbiorów bibliotecznych               –       98.204,40 zł</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69.623,51 zł – Fundusz Pomocy Ukrainie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4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2">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683A-D20D-4960-9DA8-4AC33940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LibreOffice/6.2.3.2$Windows_x86 LibreOffice_project/aecc05fe267cc68dde00352a451aa867b3b546ac</Application>
  <Pages>11</Pages>
  <Words>3365</Words>
  <Characters>21779</Characters>
  <CharactersWithSpaces>25546</CharactersWithSpaces>
  <Paragraphs>414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2025-05-05T07:15:00Z</dcterms:created>
  <dc:creator>Marietta Ulatowska</dc:creator>
  <dc:description/>
  <cp:keywords>Informacja dodatkowa</cp:keywords>
  <dc:language>pl-PL</dc:language>
  <cp:lastModifiedBy/>
  <cp:lastPrinted>2025-05-05T07:12:00Z</cp:lastPrinted>
  <dcterms:modified xsi:type="dcterms:W3CDTF">2025-05-05T10:29:22Z</dcterms:modified>
  <cp:revision>3</cp:revision>
  <dc:subject/>
  <dc:title>III LO INFORMACJA DODATKOWA ZA 2024 ROK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