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Style w:val="Tabela-Siatka"/>
        <w:tblW w:w="15304" w:type="dxa"/>
        <w:jc w:val="left"/>
        <w:tblInd w:w="0" w:type="dxa"/>
        <w:tblCellMar>
          <w:top w:w="0" w:type="dxa"/>
          <w:left w:w="108" w:type="dxa"/>
          <w:bottom w:w="0" w:type="dxa"/>
          <w:right w:w="108" w:type="dxa"/>
        </w:tblCellMar>
        <w:tblLook w:firstRow="1" w:noVBand="1" w:lastRow="0" w:firstColumn="1" w:lastColumn="0" w:noHBand="0" w:val="04a0"/>
      </w:tblPr>
      <w:tblGrid>
        <w:gridCol w:w="561"/>
        <w:gridCol w:w="14742"/>
      </w:tblGrid>
      <w:tr>
        <w:trPr/>
        <w:tc>
          <w:tcPr>
            <w:tcW w:w="561" w:type="dxa"/>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742" w:type="dxa"/>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w:t>
            </w:r>
          </w:p>
        </w:tc>
        <w:tc>
          <w:tcPr>
            <w:tcW w:w="14742"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1.1</w:t>
            </w:r>
          </w:p>
        </w:tc>
        <w:tc>
          <w:tcPr>
            <w:tcW w:w="14742" w:type="dxa"/>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56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742"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Narrow" w:hAnsi="Arial Narrow"/>
              </w:rPr>
            </w:pPr>
            <w:r>
              <w:rPr>
                <w:rFonts w:ascii="Arial" w:hAnsi="Arial"/>
                <w:color w:val="auto"/>
                <w:sz w:val="24"/>
                <w:szCs w:val="24"/>
              </w:rPr>
              <w:t>II Liceum Ogólnokształcące im. Mikołaja Kopernika</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1.2</w:t>
            </w:r>
          </w:p>
        </w:tc>
        <w:tc>
          <w:tcPr>
            <w:tcW w:w="14742" w:type="dxa"/>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56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742"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Urocza 3   87-800 Włocławek</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1.3</w:t>
            </w:r>
          </w:p>
        </w:tc>
        <w:tc>
          <w:tcPr>
            <w:tcW w:w="14742" w:type="dxa"/>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56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742"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Urocza 3  87-800 Włocławek</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1.4</w:t>
            </w:r>
          </w:p>
        </w:tc>
        <w:tc>
          <w:tcPr>
            <w:tcW w:w="14742" w:type="dxa"/>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c>
          <w:tcPr>
            <w:tcW w:w="56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742" w:type="dxa"/>
            <w:tcBorders/>
            <w:shd w:fill="auto" w:val="clear"/>
          </w:tcPr>
          <w:p>
            <w:pPr>
              <w:pStyle w:val="Normal"/>
              <w:spacing w:lineRule="auto" w:line="240" w:before="0" w:after="0"/>
              <w:rPr>
                <w:rFonts w:cs="TimesNewRomanPSMT"/>
                <w:sz w:val="24"/>
                <w:szCs w:val="24"/>
              </w:rPr>
            </w:pPr>
            <w:r>
              <w:rPr>
                <w:rFonts w:cs="TimesNewRomanPSMT" w:ascii="Arial" w:hAnsi="Arial"/>
                <w:color w:val="auto"/>
                <w:sz w:val="24"/>
                <w:szCs w:val="24"/>
              </w:rPr>
              <w:t>Podstawę prawną działalności II Liceum Ogólnokształcącego im. Mikołaja Kopernika we Włocławku stanowi ustawa z dnia 14 grudnia 2016 r. Prawo</w:t>
            </w:r>
          </w:p>
          <w:p>
            <w:pPr>
              <w:pStyle w:val="Normal"/>
              <w:spacing w:lineRule="auto" w:line="240" w:before="0" w:after="0"/>
              <w:rPr>
                <w:rFonts w:ascii="Arial" w:hAnsi="Arial"/>
                <w:color w:val="auto"/>
                <w:sz w:val="24"/>
                <w:szCs w:val="24"/>
              </w:rPr>
            </w:pPr>
            <w:r>
              <w:rPr>
                <w:rFonts w:cs="TimesNewRomanPSMT" w:ascii="Arial" w:hAnsi="Arial"/>
                <w:color w:val="auto"/>
                <w:sz w:val="24"/>
                <w:szCs w:val="24"/>
              </w:rPr>
              <w:t>Oświatowe (tekst jednolity Dz.U. z 2017 r. poz. 59) oraz wydane do niej przepisy wykonawcze oraz Statut II Liceum Ogólnokształcącego im. Mikołaja Kopernika we Włocławku.</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2.</w:t>
            </w:r>
          </w:p>
        </w:tc>
        <w:tc>
          <w:tcPr>
            <w:tcW w:w="14742" w:type="dxa"/>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c>
          <w:tcPr>
            <w:tcW w:w="56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742" w:type="dxa"/>
            <w:tcBorders/>
            <w:shd w:fill="auto" w:val="clear"/>
          </w:tcPr>
          <w:p>
            <w:pPr>
              <w:pStyle w:val="Normal"/>
              <w:spacing w:lineRule="auto" w:line="240" w:before="0" w:after="0"/>
              <w:rPr>
                <w:rFonts w:ascii="Arial Narrow" w:hAnsi="Arial Narrow"/>
              </w:rPr>
            </w:pPr>
            <w:r>
              <w:rPr>
                <w:rFonts w:ascii="Arial" w:hAnsi="Arial"/>
                <w:color w:val="auto"/>
                <w:sz w:val="24"/>
                <w:szCs w:val="24"/>
              </w:rPr>
              <w:t>01 stycznia 2024 -31 grudnia 2024</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3.</w:t>
            </w:r>
          </w:p>
        </w:tc>
        <w:tc>
          <w:tcPr>
            <w:tcW w:w="14742" w:type="dxa"/>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56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742"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4.</w:t>
            </w:r>
          </w:p>
        </w:tc>
        <w:tc>
          <w:tcPr>
            <w:tcW w:w="14742" w:type="dxa"/>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56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742" w:type="dxa"/>
            <w:tcBorders/>
            <w:shd w:fill="auto" w:val="clear"/>
          </w:tcPr>
          <w:p>
            <w:pPr>
              <w:pStyle w:val="Normal"/>
              <w:numPr>
                <w:ilvl w:val="0"/>
                <w:numId w:val="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Należności wycenia się w kwocie wymagalnej zapłaty z zachowaniem zasady ostrożności.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Zobowiązania wycenia się w kwocie wymagającej zapłaty.</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Rezerwy wycenia się w uzasadnionej, wiarygodnie oszacowanej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Zasady amortyzacji (umorzenia) środków trwałych i wartości niematerialnych i prawnych.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ascii="Arial" w:hAnsi="Arial"/>
                <w:color w:val="auto"/>
                <w:sz w:val="24"/>
                <w:szCs w:val="24"/>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Książki i inne zbiory biblioteczne.</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Środki dydaktyczne służące procesowi dydaktyczno-wychowawczemu realizowanemu w szkołach </w:t>
              <w:br/>
              <w:t>i placówkach oświatowych.</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Meble, dywany i wykładziny.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Najkrótszym okresem sprawozdawczym są poszczególne miesiące.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w języku polskim.</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obejmują zbiory zapisów księgowych, obrotów i sald, które tworzą:</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w:t>
              <w:br/>
              <w:t>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Konta syntetyczne oznaczone są symbolami trzycyfrowymi.</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Dochody i wydatki budżetowe klasyfikuje się według:</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1"/>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1"/>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pozycji – uszczegółowienie dochodów i wydatków do potrzeb analiz i sprawozdań.</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Wydatki budżetowe są realizowane:</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Szczególnie dowodami zastępczymi dokumentowane są:</w:t>
            </w:r>
          </w:p>
          <w:p>
            <w:pPr>
              <w:pStyle w:val="Normal"/>
              <w:numPr>
                <w:ilvl w:val="0"/>
                <w:numId w:val="13"/>
              </w:numPr>
              <w:spacing w:lineRule="auto" w:line="240" w:before="0" w:after="0"/>
              <w:jc w:val="both"/>
              <w:rPr>
                <w:rFonts w:ascii="Arial Narrow" w:hAnsi="Arial Narrow" w:cs="Calibri" w:cstheme="minorHAnsi"/>
              </w:rPr>
            </w:pPr>
            <w:r>
              <w:rPr>
                <w:rFonts w:cs="Calibri" w:ascii="Arial" w:hAnsi="Arial" w:cstheme="minorHAnsi"/>
                <w:color w:val="auto"/>
                <w:sz w:val="24"/>
                <w:szCs w:val="24"/>
              </w:rPr>
              <w:t>różne opłaty (sądowe itp.),</w:t>
            </w:r>
          </w:p>
          <w:p>
            <w:pPr>
              <w:pStyle w:val="Normal"/>
              <w:numPr>
                <w:ilvl w:val="0"/>
                <w:numId w:val="13"/>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13"/>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13"/>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13"/>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13"/>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13"/>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13"/>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13"/>
              </w:numPr>
              <w:spacing w:lineRule="auto" w:line="240" w:before="0" w:after="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3"/>
              </w:numPr>
              <w:spacing w:lineRule="auto" w:line="240" w:before="0" w:after="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4"/>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4"/>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4"/>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4"/>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4"/>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4"/>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4"/>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Odsetki od należności, ujmuje się w księgach rachunkowych w momencie ich zapłaty lub na koniec kwartału </w:t>
              <w:br/>
              <w:t>w wysokości odsetek należnych na koniec tego kwartału.</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Rozliczenia z tytułu VAT.</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 dniem 01 czerwca 2016 roku Gmina Miasto Włocławek wprowadziła scentralizowane zasady rozliczeń podatku od towarów i usług VAT, w związku z powyższym zasady ustalone przez Gminę Miasto Włocławek obejmują jednostki obsługiwane i CUWPO.</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W sprawie rozliczania podatku VAT metodą podzielonej płatności obowiązuje Zarządzenie nr 449/2019 Prezydenta Miasta Włocławek z dnia 31 października 2019 r.</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W celu realizacji MPP (Mechanizm Podzielonej Płatności) wydzielono w księgach rachunkowych dodatkowe konta analityczne „VAT”.</w:t>
            </w:r>
          </w:p>
          <w:p>
            <w:pPr>
              <w:pStyle w:val="Normal"/>
              <w:numPr>
                <w:ilvl w:val="0"/>
                <w:numId w:val="1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Sprawozdawczość finansowa:</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19"/>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2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Vulcan aplikacja Finanse VULCAN wersja zgodna z aktualizacjami programu - firma Vulcan Sp.</w:t>
              <w:br/>
              <w:t xml:space="preserve">z o.o. ul. Wołowska 6, 51-116 Wrocław. Administratorem platformy systemu Vulcan jest Gmina Miasto Włocławek. </w:t>
            </w:r>
          </w:p>
        </w:tc>
      </w:tr>
      <w:tr>
        <w:trPr/>
        <w:tc>
          <w:tcPr>
            <w:tcW w:w="56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4742" w:type="dxa"/>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c>
          <w:tcPr>
            <w:tcW w:w="561"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bl>
            <w:tblPr>
              <w:tblW w:w="14830" w:type="dxa"/>
              <w:jc w:val="left"/>
              <w:tblInd w:w="0" w:type="dxa"/>
              <w:tblCellMar>
                <w:top w:w="0" w:type="dxa"/>
                <w:left w:w="70" w:type="dxa"/>
                <w:bottom w:w="0" w:type="dxa"/>
                <w:right w:w="70" w:type="dxa"/>
              </w:tblCellMar>
              <w:tblLook w:firstRow="0" w:noVBand="0" w:lastRow="0" w:firstColumn="0" w:lastColumn="0" w:noHBand="0" w:val="0000"/>
            </w:tblPr>
            <w:tblGrid>
              <w:gridCol w:w="317"/>
              <w:gridCol w:w="655"/>
              <w:gridCol w:w="183"/>
              <w:gridCol w:w="544"/>
              <w:gridCol w:w="362"/>
              <w:gridCol w:w="98"/>
              <w:gridCol w:w="262"/>
              <w:gridCol w:w="163"/>
              <w:gridCol w:w="199"/>
              <w:gridCol w:w="368"/>
              <w:gridCol w:w="197"/>
              <w:gridCol w:w="227"/>
              <w:gridCol w:w="1"/>
              <w:gridCol w:w="134"/>
              <w:gridCol w:w="432"/>
              <w:gridCol w:w="1"/>
              <w:gridCol w:w="79"/>
              <w:gridCol w:w="344"/>
              <w:gridCol w:w="17"/>
              <w:gridCol w:w="549"/>
              <w:gridCol w:w="140"/>
              <w:gridCol w:w="284"/>
              <w:gridCol w:w="2"/>
              <w:gridCol w:w="504"/>
              <w:gridCol w:w="344"/>
              <w:gridCol w:w="2"/>
              <w:gridCol w:w="370"/>
              <w:gridCol w:w="362"/>
              <w:gridCol w:w="254"/>
              <w:gridCol w:w="4"/>
              <w:gridCol w:w="2"/>
              <w:gridCol w:w="716"/>
              <w:gridCol w:w="273"/>
              <w:gridCol w:w="1"/>
              <w:gridCol w:w="424"/>
              <w:gridCol w:w="21"/>
              <w:gridCol w:w="506"/>
              <w:gridCol w:w="323"/>
              <w:gridCol w:w="497"/>
              <w:gridCol w:w="70"/>
              <w:gridCol w:w="1"/>
              <w:gridCol w:w="751"/>
              <w:gridCol w:w="97"/>
              <w:gridCol w:w="2"/>
              <w:gridCol w:w="423"/>
              <w:gridCol w:w="1"/>
              <w:gridCol w:w="9"/>
              <w:gridCol w:w="202"/>
              <w:gridCol w:w="15"/>
              <w:gridCol w:w="759"/>
              <w:gridCol w:w="6"/>
              <w:gridCol w:w="1"/>
              <w:gridCol w:w="8"/>
              <w:gridCol w:w="977"/>
              <w:gridCol w:w="6"/>
              <w:gridCol w:w="9"/>
              <w:gridCol w:w="1330"/>
            </w:tblGrid>
            <w:tr>
              <w:trPr>
                <w:trHeight w:val="331" w:hRule="atLeast"/>
              </w:trPr>
              <w:tc>
                <w:tcPr>
                  <w:tcW w:w="11515" w:type="dxa"/>
                  <w:gridSpan w:val="47"/>
                  <w:tcBorders/>
                  <w:shd w:color="auto" w:fill="auto" w:val="clear"/>
                  <w:vAlign w:val="center"/>
                </w:tcPr>
                <w:p>
                  <w:pPr>
                    <w:pStyle w:val="Normal"/>
                    <w:spacing w:lineRule="auto" w:line="240" w:before="0" w:after="0"/>
                    <w:rPr>
                      <w:rFonts w:ascii="Arial" w:hAnsi="Arial" w:eastAsia="Times New Roman" w:cs="Calibri"/>
                      <w:b/>
                      <w:b/>
                      <w:bCs/>
                      <w:color w:val="auto"/>
                      <w:sz w:val="24"/>
                      <w:szCs w:val="24"/>
                      <w:u w:val="single"/>
                      <w:lang w:eastAsia="pl-PL"/>
                    </w:rPr>
                  </w:pPr>
                  <w:r>
                    <w:rPr>
                      <w:rFonts w:eastAsia="Times New Roman" w:cs="Calibri" w:ascii="Arial" w:hAnsi="Arial"/>
                      <w:b/>
                      <w:bCs/>
                      <w:color w:val="auto"/>
                      <w:sz w:val="24"/>
                      <w:szCs w:val="24"/>
                      <w:u w:val="single"/>
                      <w:lang w:eastAsia="pl-PL"/>
                    </w:rPr>
                  </w:r>
                </w:p>
                <w:p>
                  <w:pPr>
                    <w:pStyle w:val="Normal"/>
                    <w:spacing w:lineRule="auto" w:line="240" w:before="0" w:after="0"/>
                    <w:rPr>
                      <w:rFonts w:ascii="Arial" w:hAnsi="Arial" w:eastAsia="Times New Roman" w:cs="Calibri"/>
                      <w:b/>
                      <w:b/>
                      <w:bCs/>
                      <w:color w:val="auto"/>
                      <w:sz w:val="24"/>
                      <w:szCs w:val="24"/>
                      <w:u w:val="single"/>
                      <w:lang w:eastAsia="pl-PL"/>
                    </w:rPr>
                  </w:pPr>
                  <w:r>
                    <w:rPr>
                      <w:rFonts w:eastAsia="Times New Roman" w:cs="Calibri" w:ascii="Arial" w:hAnsi="Arial"/>
                      <w:b/>
                      <w:bCs/>
                      <w:color w:val="auto"/>
                      <w:sz w:val="24"/>
                      <w:szCs w:val="24"/>
                      <w:u w:val="single"/>
                      <w:lang w:eastAsia="pl-PL"/>
                    </w:rPr>
                  </w:r>
                </w:p>
                <w:p>
                  <w:pPr>
                    <w:pStyle w:val="Normal"/>
                    <w:spacing w:lineRule="auto" w:line="240" w:before="0" w:after="0"/>
                    <w:rPr>
                      <w:rFonts w:ascii="Arial Narrow" w:hAnsi="Arial Narrow" w:eastAsia="Times New Roman" w:cs="Calibri"/>
                      <w:b/>
                      <w:b/>
                      <w:bCs/>
                      <w:color w:val="000000"/>
                      <w:u w:val="single"/>
                      <w:lang w:eastAsia="pl-PL"/>
                    </w:rPr>
                  </w:pPr>
                  <w:r>
                    <w:rPr>
                      <w:rFonts w:eastAsia="Times New Roman" w:cs="Calibri" w:ascii="Arial" w:hAnsi="Arial"/>
                      <w:b/>
                      <w:bCs/>
                      <w:color w:val="auto"/>
                      <w:sz w:val="24"/>
                      <w:szCs w:val="24"/>
                      <w:u w:val="single"/>
                      <w:lang w:eastAsia="pl-PL"/>
                    </w:rPr>
                    <w:t>Główne składniki aktywów trwałych - IILO</w:t>
                  </w:r>
                </w:p>
              </w:tc>
              <w:tc>
                <w:tcPr>
                  <w:tcW w:w="217" w:type="dxa"/>
                  <w:gridSpan w:val="2"/>
                  <w:tcBorders/>
                  <w:shd w:fill="auto" w:val="clear"/>
                  <w:tcMar>
                    <w:left w:w="10" w:type="dxa"/>
                    <w:right w:w="10" w:type="dxa"/>
                  </w:tcM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774" w:type="dxa"/>
                  <w:gridSpan w:val="4"/>
                  <w:tcBorders/>
                  <w:shd w:fill="auto" w:val="clear"/>
                  <w:tcMar>
                    <w:left w:w="10" w:type="dxa"/>
                    <w:right w:w="10" w:type="dxa"/>
                  </w:tcM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2" w:type="dxa"/>
                  <w:gridSpan w:val="3"/>
                  <w:tcBorders/>
                  <w:shd w:fill="auto" w:val="clear"/>
                  <w:tcMar>
                    <w:left w:w="10" w:type="dxa"/>
                    <w:right w:w="10" w:type="dxa"/>
                  </w:tcM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330" w:type="dxa"/>
                  <w:tcBorders/>
                  <w:shd w:fill="auto" w:val="clear"/>
                  <w:tcMar>
                    <w:left w:w="10" w:type="dxa"/>
                    <w:right w:w="10" w:type="dxa"/>
                  </w:tcM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331" w:hRule="atLeast"/>
              </w:trPr>
              <w:tc>
                <w:tcPr>
                  <w:tcW w:w="97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727"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362"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360"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36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565"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362"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512"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361"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68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790"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716"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362"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25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722"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719" w:type="dxa"/>
                  <w:gridSpan w:val="4"/>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50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820"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822"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734" w:type="dxa"/>
                  <w:gridSpan w:val="6"/>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774" w:type="dxa"/>
                  <w:gridSpan w:val="2"/>
                  <w:tcBorders/>
                  <w:shd w:fill="auto" w:val="clear"/>
                  <w:tcMar>
                    <w:left w:w="10" w:type="dxa"/>
                    <w:right w:w="10" w:type="dxa"/>
                  </w:tcM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2" w:type="dxa"/>
                  <w:gridSpan w:val="4"/>
                  <w:tcBorders/>
                  <w:shd w:fill="auto" w:val="clear"/>
                  <w:tcMar>
                    <w:left w:w="10" w:type="dxa"/>
                    <w:right w:w="10" w:type="dxa"/>
                  </w:tcM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345" w:type="dxa"/>
                  <w:gridSpan w:val="3"/>
                  <w:tcBorders/>
                  <w:shd w:fill="auto" w:val="clear"/>
                  <w:tcMar>
                    <w:left w:w="10" w:type="dxa"/>
                    <w:right w:w="10" w:type="dxa"/>
                  </w:tcM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510" w:hRule="atLeast"/>
              </w:trPr>
              <w:tc>
                <w:tcPr>
                  <w:tcW w:w="317" w:type="dxa"/>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Lp.</w:t>
                  </w:r>
                </w:p>
              </w:tc>
              <w:tc>
                <w:tcPr>
                  <w:tcW w:w="83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Nazwa grupy rodzajowej składnika aktywów trwałych</w:t>
                  </w:r>
                </w:p>
              </w:tc>
              <w:tc>
                <w:tcPr>
                  <w:tcW w:w="1004"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poczatkowa - stan na poczatek roku obrotowego</w:t>
                  </w:r>
                </w:p>
              </w:tc>
              <w:tc>
                <w:tcPr>
                  <w:tcW w:w="1417" w:type="dxa"/>
                  <w:gridSpan w:val="7"/>
                  <w:tcBorders>
                    <w:top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Zwiększenie wartości poczatkowej</w:t>
                  </w:r>
                </w:p>
              </w:tc>
              <w:tc>
                <w:tcPr>
                  <w:tcW w:w="567"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zwiększenie wartości początkowej (4+5+6)</w:t>
                  </w:r>
                </w:p>
              </w:tc>
              <w:tc>
                <w:tcPr>
                  <w:tcW w:w="1415" w:type="dxa"/>
                  <w:gridSpan w:val="7"/>
                  <w:tcBorders>
                    <w:top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Zmniejszenie wartości początkowej</w:t>
                  </w:r>
                </w:p>
              </w:tc>
              <w:tc>
                <w:tcPr>
                  <w:tcW w:w="850"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zmniejszenie wartości poczatkowej                                                                                                                              (8+9+10)</w:t>
                  </w:r>
                </w:p>
              </w:tc>
              <w:tc>
                <w:tcPr>
                  <w:tcW w:w="992" w:type="dxa"/>
                  <w:gridSpan w:val="5"/>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poczatkowa - stan na koniec roku obrotowego                                                                                                                                           (3+7-11)</w:t>
                  </w:r>
                </w:p>
              </w:tc>
              <w:tc>
                <w:tcPr>
                  <w:tcW w:w="990"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Umorzenie - stan na początek roku obrotowego</w:t>
                  </w:r>
                </w:p>
              </w:tc>
              <w:tc>
                <w:tcPr>
                  <w:tcW w:w="1842" w:type="dxa"/>
                  <w:gridSpan w:val="7"/>
                  <w:tcBorders>
                    <w:top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Zwiększenia w ciągu roku obrotowego</w:t>
                  </w:r>
                </w:p>
              </w:tc>
              <w:tc>
                <w:tcPr>
                  <w:tcW w:w="850"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zwiększenie umorzenia (14+15+16)</w:t>
                  </w:r>
                </w:p>
              </w:tc>
              <w:tc>
                <w:tcPr>
                  <w:tcW w:w="42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Zmniejszenie umorzenia</w:t>
                  </w:r>
                </w:p>
              </w:tc>
              <w:tc>
                <w:tcPr>
                  <w:tcW w:w="992" w:type="dxa"/>
                  <w:gridSpan w:val="6"/>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Umorzenie - stan na koniec roku obrotowego                                                                                                 (13+17-18)</w:t>
                  </w:r>
                </w:p>
              </w:tc>
              <w:tc>
                <w:tcPr>
                  <w:tcW w:w="2330" w:type="dxa"/>
                  <w:gridSpan w:val="5"/>
                  <w:tcBorders>
                    <w:top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netto składników aktywów</w:t>
                  </w:r>
                </w:p>
              </w:tc>
            </w:tr>
            <w:tr>
              <w:trPr>
                <w:trHeight w:val="1695" w:hRule="atLeast"/>
              </w:trPr>
              <w:tc>
                <w:tcPr>
                  <w:tcW w:w="317"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38" w:type="dxa"/>
                  <w:gridSpan w:val="2"/>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004" w:type="dxa"/>
                  <w:gridSpan w:val="3"/>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5" w:type="dxa"/>
                  <w:gridSpan w:val="2"/>
                  <w:tcBorders/>
                  <w:shd w:color="auto" w:fill="auto" w:val="clear"/>
                  <w:tcMar>
                    <w:left w:w="10" w:type="dxa"/>
                    <w:right w:w="10" w:type="dxa"/>
                  </w:tcM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Aktualizacja</w:t>
                  </w:r>
                </w:p>
              </w:tc>
              <w:tc>
                <w:tcPr>
                  <w:tcW w:w="567" w:type="dxa"/>
                  <w:gridSpan w:val="2"/>
                  <w:tcBorders>
                    <w:left w:val="single" w:sz="4" w:space="0" w:color="000000"/>
                    <w:bottom w:val="single" w:sz="4" w:space="0" w:color="000000"/>
                    <w:right w:val="single" w:sz="4" w:space="0" w:color="000000"/>
                  </w:tcBorders>
                  <w:shd w:color="auto" w:fill="auto" w:val="clear"/>
                  <w:tcMar>
                    <w:left w:w="10" w:type="dxa"/>
                    <w:right w:w="10" w:type="dxa"/>
                  </w:tcM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Przychody</w:t>
                  </w:r>
                </w:p>
              </w:tc>
              <w:tc>
                <w:tcPr>
                  <w:tcW w:w="424" w:type="dxa"/>
                  <w:gridSpan w:val="2"/>
                  <w:tcBorders/>
                  <w:shd w:color="auto" w:fill="auto" w:val="clear"/>
                  <w:tcMar>
                    <w:left w:w="10" w:type="dxa"/>
                    <w:right w:w="10" w:type="dxa"/>
                  </w:tcM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Przemieszczenie</w:t>
                  </w:r>
                </w:p>
              </w:tc>
              <w:tc>
                <w:tcPr>
                  <w:tcW w:w="567" w:type="dxa"/>
                  <w:gridSpan w:val="3"/>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4" w:type="dxa"/>
                  <w:gridSpan w:val="3"/>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Zbycie</w:t>
                  </w:r>
                </w:p>
              </w:tc>
              <w:tc>
                <w:tcPr>
                  <w:tcW w:w="566" w:type="dxa"/>
                  <w:gridSpan w:val="2"/>
                  <w:tcBorders>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Likwidacja</w:t>
                  </w:r>
                </w:p>
              </w:tc>
              <w:tc>
                <w:tcPr>
                  <w:tcW w:w="424" w:type="dxa"/>
                  <w:gridSpan w:val="2"/>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w:t>
                  </w:r>
                </w:p>
              </w:tc>
              <w:tc>
                <w:tcPr>
                  <w:tcW w:w="850" w:type="dxa"/>
                  <w:gridSpan w:val="3"/>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2" w:type="dxa"/>
                  <w:gridSpan w:val="5"/>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1" w:type="dxa"/>
                  <w:gridSpan w:val="3"/>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5" w:type="dxa"/>
                  <w:gridSpan w:val="2"/>
                  <w:tcBorders/>
                  <w:shd w:color="auto" w:fill="auto" w:val="clear"/>
                  <w:tcMar>
                    <w:left w:w="10" w:type="dxa"/>
                    <w:right w:w="10" w:type="dxa"/>
                  </w:tcM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Aktualizacja</w:t>
                  </w:r>
                </w:p>
              </w:tc>
              <w:tc>
                <w:tcPr>
                  <w:tcW w:w="850" w:type="dxa"/>
                  <w:gridSpan w:val="3"/>
                  <w:tcBorders>
                    <w:left w:val="single" w:sz="4" w:space="0" w:color="000000"/>
                    <w:bottom w:val="single" w:sz="4" w:space="0" w:color="000000"/>
                    <w:right w:val="single" w:sz="4" w:space="0" w:color="000000"/>
                  </w:tcBorders>
                  <w:shd w:color="auto" w:fill="auto" w:val="clear"/>
                  <w:tcMar>
                    <w:left w:w="10" w:type="dxa"/>
                    <w:right w:w="10" w:type="dxa"/>
                  </w:tcM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Amortyzacja za rok obrotowy</w:t>
                  </w:r>
                </w:p>
              </w:tc>
              <w:tc>
                <w:tcPr>
                  <w:tcW w:w="567" w:type="dxa"/>
                  <w:gridSpan w:val="2"/>
                  <w:tcBorders/>
                  <w:shd w:color="auto" w:fill="auto" w:val="clear"/>
                  <w:tcMar>
                    <w:left w:w="10" w:type="dxa"/>
                    <w:right w:w="10" w:type="dxa"/>
                  </w:tcM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w:t>
                  </w:r>
                </w:p>
              </w:tc>
              <w:tc>
                <w:tcPr>
                  <w:tcW w:w="849" w:type="dxa"/>
                  <w:gridSpan w:val="3"/>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5" w:type="dxa"/>
                  <w:gridSpan w:val="2"/>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2" w:type="dxa"/>
                  <w:gridSpan w:val="6"/>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2" w:type="dxa"/>
                  <w:gridSpan w:val="4"/>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Stan na poczatek roku obrotowego                                                                                                                                                                           (3-13)</w:t>
                  </w:r>
                </w:p>
              </w:tc>
              <w:tc>
                <w:tcPr>
                  <w:tcW w:w="1339"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Stan na koniec roku obrotowego                                                                                                                                                                          (12-19)</w:t>
                  </w:r>
                </w:p>
              </w:tc>
            </w:tr>
            <w:tr>
              <w:trPr>
                <w:trHeight w:val="199" w:hRule="atLeast"/>
              </w:trPr>
              <w:tc>
                <w:tcPr>
                  <w:tcW w:w="317" w:type="dxa"/>
                  <w:tcBorders>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w:t>
                  </w:r>
                </w:p>
              </w:tc>
              <w:tc>
                <w:tcPr>
                  <w:tcW w:w="838"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w:t>
                  </w:r>
                </w:p>
              </w:tc>
              <w:tc>
                <w:tcPr>
                  <w:tcW w:w="100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3</w:t>
                  </w:r>
                </w:p>
              </w:tc>
              <w:tc>
                <w:tcPr>
                  <w:tcW w:w="425" w:type="dxa"/>
                  <w:gridSpan w:val="2"/>
                  <w:tcBorders>
                    <w:top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4</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5</w:t>
                  </w:r>
                </w:p>
              </w:tc>
              <w:tc>
                <w:tcPr>
                  <w:tcW w:w="424" w:type="dxa"/>
                  <w:gridSpan w:val="2"/>
                  <w:tcBorders>
                    <w:top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6</w:t>
                  </w:r>
                </w:p>
              </w:tc>
              <w:tc>
                <w:tcPr>
                  <w:tcW w:w="567"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7</w:t>
                  </w:r>
                </w:p>
              </w:tc>
              <w:tc>
                <w:tcPr>
                  <w:tcW w:w="424" w:type="dxa"/>
                  <w:gridSpan w:val="3"/>
                  <w:tcBorders>
                    <w:top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8</w:t>
                  </w:r>
                </w:p>
              </w:tc>
              <w:tc>
                <w:tcPr>
                  <w:tcW w:w="566"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9</w:t>
                  </w:r>
                </w:p>
              </w:tc>
              <w:tc>
                <w:tcPr>
                  <w:tcW w:w="424" w:type="dxa"/>
                  <w:gridSpan w:val="2"/>
                  <w:tcBorders>
                    <w:top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11</w:t>
                  </w:r>
                </w:p>
              </w:tc>
              <w:tc>
                <w:tcPr>
                  <w:tcW w:w="992" w:type="dxa"/>
                  <w:gridSpan w:val="5"/>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12</w:t>
                  </w:r>
                </w:p>
              </w:tc>
              <w:tc>
                <w:tcPr>
                  <w:tcW w:w="991"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13</w:t>
                  </w:r>
                </w:p>
              </w:tc>
              <w:tc>
                <w:tcPr>
                  <w:tcW w:w="425" w:type="dxa"/>
                  <w:gridSpan w:val="2"/>
                  <w:tcBorders>
                    <w:top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14</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15</w:t>
                  </w:r>
                </w:p>
              </w:tc>
              <w:tc>
                <w:tcPr>
                  <w:tcW w:w="567" w:type="dxa"/>
                  <w:gridSpan w:val="2"/>
                  <w:tcBorders>
                    <w:top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16</w:t>
                  </w:r>
                </w:p>
              </w:tc>
              <w:tc>
                <w:tcPr>
                  <w:tcW w:w="849"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17</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18</w:t>
                  </w:r>
                </w:p>
              </w:tc>
              <w:tc>
                <w:tcPr>
                  <w:tcW w:w="992" w:type="dxa"/>
                  <w:gridSpan w:val="6"/>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19</w:t>
                  </w:r>
                </w:p>
              </w:tc>
              <w:tc>
                <w:tcPr>
                  <w:tcW w:w="992" w:type="dxa"/>
                  <w:gridSpan w:val="4"/>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20</w:t>
                  </w:r>
                </w:p>
              </w:tc>
              <w:tc>
                <w:tcPr>
                  <w:tcW w:w="1339"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21</w:t>
                  </w:r>
                </w:p>
              </w:tc>
            </w:tr>
            <w:tr>
              <w:trPr>
                <w:trHeight w:val="765" w:hRule="atLeast"/>
              </w:trPr>
              <w:tc>
                <w:tcPr>
                  <w:tcW w:w="317" w:type="dxa"/>
                  <w:tcBorders>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w:t>
                  </w:r>
                </w:p>
              </w:tc>
              <w:tc>
                <w:tcPr>
                  <w:tcW w:w="838"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Wartości niematerialne                          i prawne</w:t>
                  </w:r>
                </w:p>
              </w:tc>
              <w:tc>
                <w:tcPr>
                  <w:tcW w:w="100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28 819,22</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430,00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7"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430,00</w:t>
                  </w:r>
                </w:p>
              </w:tc>
              <w:tc>
                <w:tcPr>
                  <w:tcW w:w="42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6"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2" w:type="dxa"/>
                  <w:gridSpan w:val="5"/>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29 249,22</w:t>
                  </w:r>
                </w:p>
              </w:tc>
              <w:tc>
                <w:tcPr>
                  <w:tcW w:w="991"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28 819,22</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430,00</w:t>
                  </w:r>
                </w:p>
              </w:tc>
              <w:tc>
                <w:tcPr>
                  <w:tcW w:w="849"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430,00</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2" w:type="dxa"/>
                  <w:gridSpan w:val="6"/>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29 249,22</w:t>
                  </w:r>
                </w:p>
              </w:tc>
              <w:tc>
                <w:tcPr>
                  <w:tcW w:w="992" w:type="dxa"/>
                  <w:gridSpan w:val="4"/>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1339"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r>
            <w:tr>
              <w:trPr>
                <w:trHeight w:val="540" w:hRule="atLeast"/>
              </w:trPr>
              <w:tc>
                <w:tcPr>
                  <w:tcW w:w="317" w:type="dxa"/>
                  <w:tcBorders>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center"/>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2.</w:t>
                  </w:r>
                </w:p>
              </w:tc>
              <w:tc>
                <w:tcPr>
                  <w:tcW w:w="838"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Środki trwałe</w:t>
                  </w:r>
                </w:p>
              </w:tc>
              <w:tc>
                <w:tcPr>
                  <w:tcW w:w="100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5 827 034,69</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7"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6"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2" w:type="dxa"/>
                  <w:gridSpan w:val="5"/>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5 827 034,69</w:t>
                  </w:r>
                </w:p>
              </w:tc>
              <w:tc>
                <w:tcPr>
                  <w:tcW w:w="991"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2 390 842,96</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122 750,51</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9"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122 750,51</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2" w:type="dxa"/>
                  <w:gridSpan w:val="6"/>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2 513 593,47</w:t>
                  </w:r>
                </w:p>
              </w:tc>
              <w:tc>
                <w:tcPr>
                  <w:tcW w:w="992" w:type="dxa"/>
                  <w:gridSpan w:val="4"/>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3 436 191,73</w:t>
                  </w:r>
                </w:p>
              </w:tc>
              <w:tc>
                <w:tcPr>
                  <w:tcW w:w="1339"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3 313 441,22</w:t>
                  </w:r>
                </w:p>
              </w:tc>
            </w:tr>
            <w:tr>
              <w:trPr>
                <w:trHeight w:val="405" w:hRule="atLeast"/>
              </w:trPr>
              <w:tc>
                <w:tcPr>
                  <w:tcW w:w="317" w:type="dxa"/>
                  <w:tcBorders>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w:t>
                  </w:r>
                </w:p>
              </w:tc>
              <w:tc>
                <w:tcPr>
                  <w:tcW w:w="838"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grunty</w:t>
                  </w:r>
                </w:p>
              </w:tc>
              <w:tc>
                <w:tcPr>
                  <w:tcW w:w="100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940 320,00</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6"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5"/>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940 320,00</w:t>
                  </w:r>
                </w:p>
              </w:tc>
              <w:tc>
                <w:tcPr>
                  <w:tcW w:w="991"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 </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 </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 </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 </w:t>
                  </w:r>
                </w:p>
              </w:tc>
              <w:tc>
                <w:tcPr>
                  <w:tcW w:w="849"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 </w:t>
                  </w:r>
                </w:p>
              </w:tc>
              <w:tc>
                <w:tcPr>
                  <w:tcW w:w="992" w:type="dxa"/>
                  <w:gridSpan w:val="6"/>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4"/>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940 320,00</w:t>
                  </w:r>
                </w:p>
              </w:tc>
              <w:tc>
                <w:tcPr>
                  <w:tcW w:w="1339"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940 320,00</w:t>
                  </w:r>
                </w:p>
              </w:tc>
            </w:tr>
            <w:tr>
              <w:trPr>
                <w:trHeight w:val="765" w:hRule="atLeast"/>
              </w:trPr>
              <w:tc>
                <w:tcPr>
                  <w:tcW w:w="317" w:type="dxa"/>
                  <w:tcBorders>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w:t>
                  </w:r>
                </w:p>
              </w:tc>
              <w:tc>
                <w:tcPr>
                  <w:tcW w:w="838"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budynki, lokale i obiekty inżynierii lądowej i wodnej</w:t>
                  </w:r>
                </w:p>
              </w:tc>
              <w:tc>
                <w:tcPr>
                  <w:tcW w:w="100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4 687 827,27</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6"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5"/>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4 687 827,27</w:t>
                  </w:r>
                </w:p>
              </w:tc>
              <w:tc>
                <w:tcPr>
                  <w:tcW w:w="991"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2 191 955,54</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122 750,51</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122 750,51</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6"/>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2 314 706,05</w:t>
                  </w:r>
                </w:p>
              </w:tc>
              <w:tc>
                <w:tcPr>
                  <w:tcW w:w="992" w:type="dxa"/>
                  <w:gridSpan w:val="4"/>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2 495 871,73</w:t>
                  </w:r>
                </w:p>
              </w:tc>
              <w:tc>
                <w:tcPr>
                  <w:tcW w:w="1339"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2 373 121,22</w:t>
                  </w:r>
                </w:p>
              </w:tc>
            </w:tr>
            <w:tr>
              <w:trPr>
                <w:trHeight w:val="765" w:hRule="atLeast"/>
              </w:trPr>
              <w:tc>
                <w:tcPr>
                  <w:tcW w:w="317" w:type="dxa"/>
                  <w:tcBorders>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3)</w:t>
                  </w:r>
                </w:p>
              </w:tc>
              <w:tc>
                <w:tcPr>
                  <w:tcW w:w="838"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urządzenia techniczne i maszyny</w:t>
                  </w:r>
                </w:p>
              </w:tc>
              <w:tc>
                <w:tcPr>
                  <w:tcW w:w="100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198 887,42</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6"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5"/>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198 887,42</w:t>
                  </w:r>
                </w:p>
              </w:tc>
              <w:tc>
                <w:tcPr>
                  <w:tcW w:w="991"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198 887,42</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6"/>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198 887,42</w:t>
                  </w:r>
                </w:p>
              </w:tc>
              <w:tc>
                <w:tcPr>
                  <w:tcW w:w="992" w:type="dxa"/>
                  <w:gridSpan w:val="4"/>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1339"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r>
            <w:tr>
              <w:trPr>
                <w:trHeight w:val="330" w:hRule="atLeast"/>
              </w:trPr>
              <w:tc>
                <w:tcPr>
                  <w:tcW w:w="317" w:type="dxa"/>
                  <w:tcBorders>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4)</w:t>
                  </w:r>
                </w:p>
              </w:tc>
              <w:tc>
                <w:tcPr>
                  <w:tcW w:w="838"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środki transportu</w:t>
                  </w:r>
                </w:p>
              </w:tc>
              <w:tc>
                <w:tcPr>
                  <w:tcW w:w="100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6"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5"/>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1"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6"/>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4"/>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1339"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r>
            <w:tr>
              <w:trPr>
                <w:trHeight w:val="510" w:hRule="atLeast"/>
              </w:trPr>
              <w:tc>
                <w:tcPr>
                  <w:tcW w:w="317" w:type="dxa"/>
                  <w:tcBorders>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5)</w:t>
                  </w:r>
                </w:p>
              </w:tc>
              <w:tc>
                <w:tcPr>
                  <w:tcW w:w="838"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inne środki trwałe</w:t>
                  </w:r>
                </w:p>
              </w:tc>
              <w:tc>
                <w:tcPr>
                  <w:tcW w:w="100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6"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5"/>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1"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6"/>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4"/>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1339"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r>
            <w:tr>
              <w:trPr>
                <w:trHeight w:val="330" w:hRule="atLeast"/>
              </w:trPr>
              <w:tc>
                <w:tcPr>
                  <w:tcW w:w="317" w:type="dxa"/>
                  <w:tcBorders>
                    <w:left w:val="single" w:sz="4" w:space="0" w:color="000000"/>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right"/>
                    <w:rPr>
                      <w:rFonts w:ascii="Arial Narrow" w:hAnsi="Arial Narrow" w:eastAsia="Times New Roman" w:cs="Calibri"/>
                      <w:b/>
                      <w:b/>
                      <w:bCs/>
                      <w:i/>
                      <w:i/>
                      <w:iCs/>
                      <w:color w:val="000000"/>
                      <w:sz w:val="16"/>
                      <w:szCs w:val="16"/>
                      <w:lang w:eastAsia="pl-PL"/>
                    </w:rPr>
                  </w:pPr>
                  <w:r>
                    <w:rPr>
                      <w:rFonts w:eastAsia="Times New Roman" w:cs="Calibri" w:ascii="Arial" w:hAnsi="Arial"/>
                      <w:b/>
                      <w:bCs/>
                      <w:i/>
                      <w:iCs/>
                      <w:color w:val="auto"/>
                      <w:sz w:val="24"/>
                      <w:szCs w:val="24"/>
                      <w:lang w:eastAsia="pl-PL"/>
                    </w:rPr>
                    <w:t> </w:t>
                  </w:r>
                </w:p>
              </w:tc>
              <w:tc>
                <w:tcPr>
                  <w:tcW w:w="838" w:type="dxa"/>
                  <w:gridSpan w:val="2"/>
                  <w:tcBorders>
                    <w:bottom w:val="single" w:sz="4" w:space="0" w:color="000000"/>
                    <w:right w:val="single" w:sz="4" w:space="0" w:color="000000"/>
                  </w:tcBorders>
                  <w:shd w:color="auto" w:fill="auto" w:val="clear"/>
                  <w:tcMar>
                    <w:left w:w="10" w:type="dxa"/>
                    <w:right w:w="10" w:type="dxa"/>
                  </w:tcMar>
                  <w:vAlign w:val="bottom"/>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 </w:t>
                  </w:r>
                </w:p>
              </w:tc>
              <w:tc>
                <w:tcPr>
                  <w:tcW w:w="100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5 855 853,91</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430,00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7"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430,00</w:t>
                  </w:r>
                </w:p>
              </w:tc>
              <w:tc>
                <w:tcPr>
                  <w:tcW w:w="424"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6"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4"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2" w:type="dxa"/>
                  <w:gridSpan w:val="5"/>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5 856 283,91</w:t>
                  </w:r>
                </w:p>
              </w:tc>
              <w:tc>
                <w:tcPr>
                  <w:tcW w:w="991"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2 419 662,18</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50"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122 750,51</w:t>
                  </w:r>
                </w:p>
              </w:tc>
              <w:tc>
                <w:tcPr>
                  <w:tcW w:w="567"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430,00</w:t>
                  </w:r>
                </w:p>
              </w:tc>
              <w:tc>
                <w:tcPr>
                  <w:tcW w:w="849" w:type="dxa"/>
                  <w:gridSpan w:val="3"/>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123 180,51</w:t>
                  </w:r>
                </w:p>
              </w:tc>
              <w:tc>
                <w:tcPr>
                  <w:tcW w:w="425"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2" w:type="dxa"/>
                  <w:gridSpan w:val="6"/>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2 542 842,69</w:t>
                  </w:r>
                </w:p>
              </w:tc>
              <w:tc>
                <w:tcPr>
                  <w:tcW w:w="992" w:type="dxa"/>
                  <w:gridSpan w:val="4"/>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3 436 191,73</w:t>
                  </w:r>
                </w:p>
              </w:tc>
              <w:tc>
                <w:tcPr>
                  <w:tcW w:w="1339" w:type="dxa"/>
                  <w:gridSpan w:val="2"/>
                  <w:tcBorders>
                    <w:bottom w:val="single" w:sz="4" w:space="0" w:color="000000"/>
                    <w:right w:val="single" w:sz="4" w:space="0" w:color="000000"/>
                  </w:tcBorders>
                  <w:shd w:color="auto" w:fill="auto" w:val="clear"/>
                  <w:tcMar>
                    <w:left w:w="10" w:type="dxa"/>
                    <w:right w:w="10" w:type="dxa"/>
                  </w:tcM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3 313 441,22</w:t>
                  </w:r>
                </w:p>
              </w:tc>
            </w:tr>
          </w:tbl>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sz w:val="20"/>
                <w:szCs w:val="20"/>
              </w:rPr>
            </w:pPr>
            <w:r>
              <w:rPr>
                <w:rFonts w:cs="Calibri" w:ascii="Arial" w:hAnsi="Arial" w:cstheme="minorHAnsi"/>
                <w:b/>
                <w:color w:val="auto"/>
                <w:sz w:val="24"/>
                <w:szCs w:val="24"/>
              </w:rPr>
              <w:t>II.</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1.1</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1.2</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1.3</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1.4</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1.5</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1.6.</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1.7.</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1.8.</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1.9.</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a)</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1 roku do 3 lat</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b)</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3 do 5 lat</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c)</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powyżej 5 lat</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1.10.</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1.11.</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1.12.</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1.13.</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1.14.</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1.15.</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kwotę wypłaconych środków pieniężnych na świadczenia pracownicze 199 429,50</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1.16.</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color w:val="2E2014"/>
                <w:sz w:val="20"/>
                <w:szCs w:val="20"/>
              </w:rPr>
            </w:pPr>
            <w:r>
              <w:rPr>
                <w:rFonts w:ascii="Arial" w:hAnsi="Arial"/>
                <w:color w:val="auto"/>
                <w:sz w:val="24"/>
                <w:szCs w:val="24"/>
              </w:rPr>
              <w:t>Umorzenie pozostałych środków trwałych – 1 082 478,22</w:t>
            </w:r>
            <w:r>
              <w:rPr>
                <w:rFonts w:ascii="Arial" w:hAnsi="Arial"/>
                <w:b/>
                <w:color w:val="auto"/>
                <w:sz w:val="24"/>
                <w:szCs w:val="24"/>
              </w:rPr>
              <w:t xml:space="preserve"> zł.</w:t>
            </w:r>
          </w:p>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Umorzenie zbiorów bibliotecznych –                48 085,63</w:t>
            </w:r>
            <w:r>
              <w:rPr>
                <w:rFonts w:ascii="Arial" w:hAnsi="Arial"/>
                <w:b/>
                <w:color w:val="auto"/>
                <w:sz w:val="24"/>
                <w:szCs w:val="24"/>
              </w:rPr>
              <w:t xml:space="preserve"> zł.</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2.</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2.1.</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2.2.</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wystąpił</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2.3.</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Fundusz Pomocy Obywatelom Ukrainy – 25 116,39</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2.4.</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2.5.</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inne informacje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3.</w:t>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rFonts w:ascii="Arial" w:hAnsi="Arial"/>
                <w:color w:val="auto"/>
                <w:sz w:val="24"/>
                <w:szCs w:val="24"/>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rFonts w:ascii="Arial" w:hAnsi="Arial"/>
                <w:color w:val="auto"/>
                <w:sz w:val="24"/>
                <w:szCs w:val="24"/>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rPr>
          <w:rFonts w:ascii="Arial" w:hAnsi="Arial"/>
          <w:b/>
          <w:b/>
          <w:color w:val="auto"/>
          <w:sz w:val="24"/>
          <w:szCs w:val="24"/>
        </w:rPr>
      </w:pPr>
      <w:r>
        <w:rPr>
          <w:rFonts w:ascii="Arial" w:hAnsi="Arial"/>
          <w:b/>
          <w:color w:val="auto"/>
          <w:sz w:val="24"/>
          <w:szCs w:val="24"/>
        </w:rPr>
      </w:r>
    </w:p>
    <w:p>
      <w:pPr>
        <w:pStyle w:val="Normal"/>
        <w:spacing w:before="0" w:after="160"/>
        <w:rPr>
          <w:rFonts w:ascii="Arial" w:hAnsi="Arial"/>
          <w:color w:val="auto"/>
          <w:sz w:val="24"/>
          <w:szCs w:val="24"/>
        </w:rPr>
      </w:pPr>
      <w:r>
        <w:rPr>
          <w:rFonts w:ascii="Arial" w:hAnsi="Arial"/>
          <w:color w:val="auto"/>
          <w:sz w:val="24"/>
          <w:szCs w:val="24"/>
        </w:rPr>
        <w:t>Sporządził:</w:t>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5">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404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NagwekZnak" w:customStyle="1">
    <w:name w:val="Nagłówek Znak"/>
    <w:basedOn w:val="DefaultParagraphFont"/>
    <w:link w:val="Nagwek"/>
    <w:uiPriority w:val="99"/>
    <w:qFormat/>
    <w:rsid w:val="00471f66"/>
    <w:rPr/>
  </w:style>
  <w:style w:type="character" w:styleId="StopkaZnak" w:customStyle="1">
    <w:name w:val="Stopka Znak"/>
    <w:basedOn w:val="DefaultParagraphFont"/>
    <w:link w:val="Stopka"/>
    <w:uiPriority w:val="99"/>
    <w:qFormat/>
    <w:rsid w:val="00471f66"/>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paragraph" w:styleId="Gwka">
    <w:name w:val="Header"/>
    <w:basedOn w:val="Normal"/>
    <w:link w:val="NagwekZnak"/>
    <w:uiPriority w:val="99"/>
    <w:unhideWhenUsed/>
    <w:rsid w:val="00471f66"/>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471f66"/>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5C27-EDE8-488F-A2B8-A6003AAE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LibreOffice/6.2.3.2$Windows_x86 LibreOffice_project/aecc05fe267cc68dde00352a451aa867b3b546ac</Application>
  <Pages>11</Pages>
  <Words>3362</Words>
  <Characters>21701</Characters>
  <CharactersWithSpaces>25467</CharactersWithSpaces>
  <Paragraphs>435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2025-05-05T08:55:00Z</dcterms:created>
  <dc:creator>Marietta Ulatowska</dc:creator>
  <dc:description/>
  <cp:keywords>Informacja dodatkowa</cp:keywords>
  <dc:language>pl-PL</dc:language>
  <cp:lastModifiedBy/>
  <cp:lastPrinted>2025-03-04T07:56:00Z</cp:lastPrinted>
  <dcterms:modified xsi:type="dcterms:W3CDTF">2025-05-05T12:29:16Z</dcterms:modified>
  <cp:revision>3</cp:revision>
  <dc:subject/>
  <dc:title>II LO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