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p>
      <w:pPr>
        <w:pStyle w:val="Normal"/>
        <w:rPr>
          <w:rFonts w:ascii="Arial" w:hAnsi="Arial"/>
          <w:b/>
          <w:b/>
          <w:color w:val="auto"/>
          <w:sz w:val="24"/>
          <w:szCs w:val="24"/>
        </w:rPr>
      </w:pPr>
      <w:r>
        <w:rPr>
          <w:rFonts w:ascii="Arial" w:hAnsi="Arial"/>
          <w:b/>
          <w:color w:val="auto"/>
          <w:sz w:val="24"/>
          <w:szCs w:val="24"/>
        </w:rPr>
      </w:r>
    </w:p>
    <w:tbl>
      <w:tblPr>
        <w:tblStyle w:val="Tabela-Siatka"/>
        <w:tblW w:w="15126" w:type="dxa"/>
        <w:jc w:val="left"/>
        <w:tblInd w:w="0" w:type="dxa"/>
        <w:tblCellMar>
          <w:top w:w="0" w:type="dxa"/>
          <w:left w:w="108" w:type="dxa"/>
          <w:bottom w:w="0" w:type="dxa"/>
          <w:right w:w="108" w:type="dxa"/>
        </w:tblCellMar>
        <w:tblLook w:firstRow="1" w:noVBand="1" w:lastRow="0" w:firstColumn="1" w:lastColumn="0" w:noHBand="0" w:val="04a0"/>
      </w:tblPr>
      <w:tblGrid>
        <w:gridCol w:w="485"/>
        <w:gridCol w:w="14640"/>
      </w:tblGrid>
      <w:tr>
        <w:trPr/>
        <w:tc>
          <w:tcPr>
            <w:tcW w:w="485" w:type="dxa"/>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640" w:type="dxa"/>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485" w:type="dxa"/>
            <w:tcBorders/>
            <w:shd w:fill="auto" w:val="clear"/>
          </w:tcPr>
          <w:p>
            <w:pPr>
              <w:pStyle w:val="Normal"/>
              <w:spacing w:lineRule="auto" w:line="240" w:before="0" w:after="0"/>
              <w:rPr>
                <w:sz w:val="20"/>
                <w:szCs w:val="20"/>
              </w:rPr>
            </w:pPr>
            <w:r>
              <w:rPr>
                <w:rFonts w:ascii="Arial" w:hAnsi="Arial"/>
                <w:color w:val="auto"/>
                <w:sz w:val="24"/>
                <w:szCs w:val="24"/>
              </w:rPr>
              <w:t>1.</w:t>
            </w:r>
          </w:p>
        </w:tc>
        <w:tc>
          <w:tcPr>
            <w:tcW w:w="1464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85" w:type="dxa"/>
            <w:tcBorders/>
            <w:shd w:fill="auto" w:val="clear"/>
          </w:tcPr>
          <w:p>
            <w:pPr>
              <w:pStyle w:val="Normal"/>
              <w:spacing w:lineRule="auto" w:line="240" w:before="0" w:after="0"/>
              <w:rPr>
                <w:sz w:val="20"/>
                <w:szCs w:val="20"/>
              </w:rPr>
            </w:pPr>
            <w:r>
              <w:rPr>
                <w:rFonts w:ascii="Arial" w:hAnsi="Arial"/>
                <w:color w:val="auto"/>
                <w:sz w:val="24"/>
                <w:szCs w:val="24"/>
              </w:rPr>
              <w:t>1.1</w:t>
            </w:r>
          </w:p>
        </w:tc>
        <w:tc>
          <w:tcPr>
            <w:tcW w:w="14640" w:type="dxa"/>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485"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640"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rFonts w:ascii="Arial Narrow" w:hAnsi="Arial Narrow"/>
              </w:rPr>
            </w:pPr>
            <w:r>
              <w:rPr>
                <w:rFonts w:ascii="Arial" w:hAnsi="Arial"/>
                <w:color w:val="auto"/>
                <w:sz w:val="24"/>
                <w:szCs w:val="24"/>
              </w:rPr>
              <w:t xml:space="preserve">I Liceum Ogólnokształcące </w:t>
            </w:r>
          </w:p>
        </w:tc>
      </w:tr>
      <w:tr>
        <w:trPr/>
        <w:tc>
          <w:tcPr>
            <w:tcW w:w="485" w:type="dxa"/>
            <w:tcBorders/>
            <w:shd w:fill="auto" w:val="clear"/>
          </w:tcPr>
          <w:p>
            <w:pPr>
              <w:pStyle w:val="Normal"/>
              <w:spacing w:lineRule="auto" w:line="240" w:before="0" w:after="0"/>
              <w:rPr>
                <w:sz w:val="20"/>
                <w:szCs w:val="20"/>
              </w:rPr>
            </w:pPr>
            <w:r>
              <w:rPr>
                <w:rFonts w:ascii="Arial" w:hAnsi="Arial"/>
                <w:color w:val="auto"/>
                <w:sz w:val="24"/>
                <w:szCs w:val="24"/>
              </w:rPr>
              <w:t>1.2</w:t>
            </w:r>
          </w:p>
        </w:tc>
        <w:tc>
          <w:tcPr>
            <w:tcW w:w="14640" w:type="dxa"/>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485"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64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Mickiewicza 6   87-800 Włocławek</w:t>
            </w:r>
          </w:p>
        </w:tc>
      </w:tr>
      <w:tr>
        <w:trPr/>
        <w:tc>
          <w:tcPr>
            <w:tcW w:w="485" w:type="dxa"/>
            <w:tcBorders/>
            <w:shd w:fill="auto" w:val="clear"/>
          </w:tcPr>
          <w:p>
            <w:pPr>
              <w:pStyle w:val="Normal"/>
              <w:spacing w:lineRule="auto" w:line="240" w:before="0" w:after="0"/>
              <w:rPr>
                <w:sz w:val="20"/>
                <w:szCs w:val="20"/>
              </w:rPr>
            </w:pPr>
            <w:r>
              <w:rPr>
                <w:rFonts w:ascii="Arial" w:hAnsi="Arial"/>
                <w:color w:val="auto"/>
                <w:sz w:val="24"/>
                <w:szCs w:val="24"/>
              </w:rPr>
              <w:t>1.3</w:t>
            </w:r>
          </w:p>
        </w:tc>
        <w:tc>
          <w:tcPr>
            <w:tcW w:w="14640" w:type="dxa"/>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485"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64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Mickiewicz 6  87-800 Włocławek</w:t>
            </w:r>
          </w:p>
        </w:tc>
      </w:tr>
      <w:tr>
        <w:trPr/>
        <w:tc>
          <w:tcPr>
            <w:tcW w:w="485" w:type="dxa"/>
            <w:tcBorders/>
            <w:shd w:fill="auto" w:val="clear"/>
          </w:tcPr>
          <w:p>
            <w:pPr>
              <w:pStyle w:val="Normal"/>
              <w:spacing w:lineRule="auto" w:line="240" w:before="0" w:after="0"/>
              <w:rPr>
                <w:sz w:val="20"/>
                <w:szCs w:val="20"/>
              </w:rPr>
            </w:pPr>
            <w:r>
              <w:rPr>
                <w:rFonts w:ascii="Arial" w:hAnsi="Arial"/>
                <w:color w:val="auto"/>
                <w:sz w:val="24"/>
                <w:szCs w:val="24"/>
              </w:rPr>
              <w:t>1.4</w:t>
            </w:r>
          </w:p>
        </w:tc>
        <w:tc>
          <w:tcPr>
            <w:tcW w:w="14640" w:type="dxa"/>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c>
          <w:tcPr>
            <w:tcW w:w="485"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640" w:type="dxa"/>
            <w:tcBorders/>
            <w:shd w:fill="auto" w:val="clear"/>
          </w:tcPr>
          <w:p>
            <w:pPr>
              <w:pStyle w:val="Normal"/>
              <w:spacing w:lineRule="auto" w:line="240" w:before="0" w:after="0"/>
              <w:rPr>
                <w:rFonts w:cs="TimesNewRomanPSMT"/>
                <w:sz w:val="24"/>
                <w:szCs w:val="24"/>
              </w:rPr>
            </w:pPr>
            <w:r>
              <w:rPr>
                <w:rFonts w:cs="TimesNewRomanPSMT" w:ascii="Arial" w:hAnsi="Arial"/>
                <w:color w:val="auto"/>
                <w:sz w:val="24"/>
                <w:szCs w:val="24"/>
              </w:rPr>
              <w:t>Podstawę prawną działalności I Liceum Ogólnokształcącego stanowi ustawa z dnia 14 grudnia 2016 r. Prawo</w:t>
            </w:r>
          </w:p>
          <w:p>
            <w:pPr>
              <w:pStyle w:val="Normal"/>
              <w:spacing w:lineRule="auto" w:line="240" w:before="0" w:after="0"/>
              <w:rPr>
                <w:b/>
                <w:b/>
                <w:sz w:val="24"/>
                <w:szCs w:val="24"/>
              </w:rPr>
            </w:pPr>
            <w:r>
              <w:rPr>
                <w:rFonts w:cs="TimesNewRomanPSMT" w:ascii="Arial" w:hAnsi="Arial"/>
                <w:color w:val="auto"/>
                <w:sz w:val="24"/>
                <w:szCs w:val="24"/>
              </w:rPr>
              <w:t>Oświatowe (tekst jednolity Dz.U. z 2017 r. poz. 59) oraz wydane do niej przepisy wykonawcze oraz Statut Szkoły I Liceum Ogólnokształcącego.</w:t>
            </w:r>
          </w:p>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85" w:type="dxa"/>
            <w:tcBorders/>
            <w:shd w:fill="auto" w:val="clear"/>
          </w:tcPr>
          <w:p>
            <w:pPr>
              <w:pStyle w:val="Normal"/>
              <w:spacing w:lineRule="auto" w:line="240" w:before="0" w:after="0"/>
              <w:rPr>
                <w:sz w:val="20"/>
                <w:szCs w:val="20"/>
              </w:rPr>
            </w:pPr>
            <w:r>
              <w:rPr>
                <w:rFonts w:ascii="Arial" w:hAnsi="Arial"/>
                <w:color w:val="auto"/>
                <w:sz w:val="24"/>
                <w:szCs w:val="24"/>
              </w:rPr>
              <w:t>2.</w:t>
            </w:r>
          </w:p>
        </w:tc>
        <w:tc>
          <w:tcPr>
            <w:tcW w:w="14640" w:type="dxa"/>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c>
          <w:tcPr>
            <w:tcW w:w="485"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640" w:type="dxa"/>
            <w:tcBorders/>
            <w:shd w:fill="auto" w:val="clear"/>
          </w:tcPr>
          <w:p>
            <w:pPr>
              <w:pStyle w:val="Normal"/>
              <w:spacing w:lineRule="auto" w:line="240" w:before="0" w:after="0"/>
              <w:rPr>
                <w:rFonts w:ascii="Arial Narrow" w:hAnsi="Arial Narrow"/>
              </w:rPr>
            </w:pPr>
            <w:r>
              <w:rPr>
                <w:rFonts w:ascii="Arial" w:hAnsi="Arial"/>
                <w:color w:val="auto"/>
                <w:sz w:val="24"/>
                <w:szCs w:val="24"/>
              </w:rPr>
              <w:t>01 stycznia 2024 -31 grudnia 2024</w:t>
            </w:r>
          </w:p>
        </w:tc>
      </w:tr>
      <w:tr>
        <w:trPr/>
        <w:tc>
          <w:tcPr>
            <w:tcW w:w="485" w:type="dxa"/>
            <w:tcBorders/>
            <w:shd w:fill="auto" w:val="clear"/>
          </w:tcPr>
          <w:p>
            <w:pPr>
              <w:pStyle w:val="Normal"/>
              <w:spacing w:lineRule="auto" w:line="240" w:before="0" w:after="0"/>
              <w:rPr>
                <w:sz w:val="20"/>
                <w:szCs w:val="20"/>
              </w:rPr>
            </w:pPr>
            <w:r>
              <w:rPr>
                <w:rFonts w:ascii="Arial" w:hAnsi="Arial"/>
                <w:color w:val="auto"/>
                <w:sz w:val="24"/>
                <w:szCs w:val="24"/>
              </w:rPr>
              <w:t>3.</w:t>
            </w:r>
          </w:p>
        </w:tc>
        <w:tc>
          <w:tcPr>
            <w:tcW w:w="14640" w:type="dxa"/>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485" w:type="dxa"/>
            <w:tcBorders/>
            <w:shd w:fill="auto" w:val="clear"/>
          </w:tcPr>
          <w:p>
            <w:pPr>
              <w:pStyle w:val="Normal"/>
              <w:spacing w:lineRule="auto" w:line="240" w:before="0" w:after="0"/>
              <w:rPr>
                <w:sz w:val="20"/>
                <w:szCs w:val="20"/>
              </w:rPr>
            </w:pPr>
            <w:r>
              <w:rPr>
                <w:rFonts w:ascii="Arial" w:hAnsi="Arial"/>
                <w:color w:val="auto"/>
                <w:sz w:val="24"/>
                <w:szCs w:val="24"/>
              </w:rPr>
              <w:t>4.</w:t>
            </w:r>
          </w:p>
        </w:tc>
        <w:tc>
          <w:tcPr>
            <w:tcW w:w="14640" w:type="dxa"/>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485"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640" w:type="dxa"/>
            <w:tcBorders/>
            <w:shd w:fill="auto" w:val="clear"/>
          </w:tcPr>
          <w:p>
            <w:pPr>
              <w:pStyle w:val="Normal"/>
              <w:numPr>
                <w:ilvl w:val="0"/>
                <w:numId w:val="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Należności wycenia się w kwocie wymagalnej zapłaty z zachowaniem zasady ostrożności.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Zobowiązania wycenia się w kwocie wymagającej zapłaty.</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Rezerwy wycenia się w uzasadnionej, wiarygodnie oszacowanej wartości.</w:t>
            </w:r>
          </w:p>
          <w:p>
            <w:pPr>
              <w:pStyle w:val="Normal"/>
              <w:numPr>
                <w:ilvl w:val="0"/>
                <w:numId w:val="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3"/>
              </w:numPr>
              <w:spacing w:lineRule="auto" w:line="240" w:before="0" w:after="0"/>
              <w:jc w:val="both"/>
              <w:rPr>
                <w:rFonts w:ascii="Arial" w:hAnsi="Arial"/>
                <w:color w:val="auto"/>
                <w:sz w:val="24"/>
                <w:szCs w:val="24"/>
              </w:rPr>
            </w:pPr>
            <w:r>
              <w:rPr>
                <w:rFonts w:cs="Calibri" w:ascii="Arial" w:hAnsi="Arial" w:cstheme="minorHAnsi"/>
                <w:color w:val="auto"/>
                <w:sz w:val="24"/>
                <w:szCs w:val="24"/>
              </w:rPr>
              <w:t>. Zasady amortyzacji (umorzenia) środków trwałych i wartości niematerialnych i prawnych.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Ponadto, bez względu na wartość jednorazowo umarza się:</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Książki i inne zbiory biblioteczne.</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Środki dydaktyczne służące procesowi dydaktyczno-wychowawczemu realizowanemu w szkołach </w:t>
              <w:br/>
              <w:t>i placówkach oświatowych.</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Meble, dywany i wykładziny.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Najkrótszym okresem sprawozdawczym są poszczególne miesiące.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w języku polskim.</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obejmują zbiory zapisów księgowych, obrotów i sald, które tworzą:</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księgę główną (ewidencji syntetycznej) w której obowiązuje ujęcie każdej operacji zgodnie z zasadą podwójnego zapisu (Wn – Ma),</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w:t>
              <w:br/>
              <w:t>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Zapisy w księgach rachunkowych dokonuje się na podstawie dowodów księgowych: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zewnętrznych (otrzymywanych od kontrahentów - przekazywanych w oryginale kontrahentom),</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Konta syntetyczne oznaczone są symbolami trzycyfrowymi.</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Prowadzone są dzienniki częściowe dla określonych grup rodzajowych zdarzeń: budżet, dochody </w:t>
              <w:br/>
              <w:t>(w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Dochody i wydatki budżetowe klasyfikuje się według:</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działów i rozdziałów – określających rodzaj działalności,</w:t>
            </w:r>
          </w:p>
          <w:p>
            <w:pPr>
              <w:pStyle w:val="Normal"/>
              <w:numPr>
                <w:ilvl w:val="0"/>
                <w:numId w:val="10"/>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paragrafów - określających rodzaj dochodu lub wydatku, zgodnie z obowiązującą klasyfikacją budżetową,</w:t>
            </w:r>
          </w:p>
          <w:p>
            <w:pPr>
              <w:pStyle w:val="Normal"/>
              <w:numPr>
                <w:ilvl w:val="0"/>
                <w:numId w:val="10"/>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pozycji – uszczegółowienie dochodów i wydatków do potrzeb analiz i sprawozdań.</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Wydatki budżetowe są realizowane:</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sposób celowy i oszczędny,</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umożliwiający terminową realizację zadań,</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wysokości i terminach wynikających z wcześniej zaciągniętych zobowiązań,</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zgodnie z zasadami określonymi w przepisach o zamówieniach publicznych,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nie powodując naruszeń dyscypliny budżetowej w rozumieniu Ustawy o odpowiedzialności za naruszenie dyscypliny finansów publicznych.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Szczególnie dowodami zastępczymi dokumentowane są:</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różne opłaty (sądowe itp.),</w:t>
            </w:r>
          </w:p>
          <w:p>
            <w:pPr>
              <w:pStyle w:val="Normal"/>
              <w:numPr>
                <w:ilvl w:val="0"/>
                <w:numId w:val="12"/>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pokwitowania za parkingi</w:t>
            </w:r>
          </w:p>
          <w:p>
            <w:pPr>
              <w:pStyle w:val="Normal"/>
              <w:numPr>
                <w:ilvl w:val="0"/>
                <w:numId w:val="12"/>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przejazdy autostradami,</w:t>
            </w:r>
          </w:p>
          <w:p>
            <w:pPr>
              <w:pStyle w:val="Normal"/>
              <w:numPr>
                <w:ilvl w:val="0"/>
                <w:numId w:val="12"/>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abonament radiowo-telewizyjny,</w:t>
            </w:r>
          </w:p>
          <w:p>
            <w:pPr>
              <w:pStyle w:val="Normal"/>
              <w:numPr>
                <w:ilvl w:val="0"/>
                <w:numId w:val="12"/>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udział w targach szkół i placówek,</w:t>
            </w:r>
          </w:p>
          <w:p>
            <w:pPr>
              <w:pStyle w:val="Normal"/>
              <w:numPr>
                <w:ilvl w:val="0"/>
                <w:numId w:val="12"/>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pokwitowanie za listy polecone,</w:t>
            </w:r>
          </w:p>
          <w:p>
            <w:pPr>
              <w:pStyle w:val="Normal"/>
              <w:numPr>
                <w:ilvl w:val="0"/>
                <w:numId w:val="12"/>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nieruchomości,</w:t>
            </w:r>
          </w:p>
          <w:p>
            <w:pPr>
              <w:pStyle w:val="Normal"/>
              <w:numPr>
                <w:ilvl w:val="0"/>
                <w:numId w:val="12"/>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środków transportu,</w:t>
            </w:r>
          </w:p>
          <w:p>
            <w:pPr>
              <w:pStyle w:val="Normal"/>
              <w:numPr>
                <w:ilvl w:val="0"/>
                <w:numId w:val="12"/>
              </w:numPr>
              <w:spacing w:lineRule="auto" w:line="240" w:before="0" w:after="0"/>
              <w:jc w:val="both"/>
              <w:rPr>
                <w:rFonts w:ascii="Arial Narrow" w:hAnsi="Arial Narrow" w:cs="Calibri" w:cstheme="minorHAnsi"/>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12"/>
              </w:numPr>
              <w:spacing w:lineRule="auto" w:line="240" w:before="0" w:after="0"/>
              <w:jc w:val="both"/>
              <w:rPr>
                <w:rFonts w:ascii="Arial Narrow" w:hAnsi="Arial Narrow" w:cs="Calibri" w:cstheme="minorHAnsi"/>
              </w:rPr>
            </w:pPr>
            <w:r>
              <w:rPr>
                <w:rFonts w:cs="Calibri" w:ascii="Arial" w:hAnsi="Arial" w:cstheme="minorHAnsi"/>
                <w:color w:val="auto"/>
                <w:sz w:val="24"/>
                <w:szCs w:val="24"/>
              </w:rPr>
              <w:t>bilety przy delegacjach służbowych.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Narrow" w:hAnsi="Arial Narrow" w:cs="Calibri" w:cstheme="minorHAnsi"/>
                <w:b/>
                <w:b/>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3"/>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3"/>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3"/>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3"/>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3"/>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3"/>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3"/>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Należy również ujmować wszystkie etapy rozliczeń poprzedzające płatności dochodów i wydatków, </w:t>
              <w:br/>
              <w:t>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Odsetki od należności, ujmuje się w księgach rachunkowych w momencie ich zapłaty lub na koniec kwartału </w:t>
              <w:br/>
              <w:t>w wysokości odsetek należnych na koniec tego kwartału.</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Rozliczenia z tytułu VAT.</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Z dniem 01 czerwca 2016 roku Gmina Miasto Włocławek wprowadziła scentralizowane zasady rozliczeń podatku od towarów i usług VAT, w związku z powyższym zasady ustalone przez Gminę Miasto Włocławek obejmują jednostki obsługiwane i CUWPO.</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W celu realizacji MPP (Mechanizm Podzielonej Płatności)</w:t>
            </w:r>
            <w:r>
              <w:rPr>
                <w:rFonts w:cs="Calibri" w:ascii="Arial" w:hAnsi="Arial" w:cstheme="minorHAnsi"/>
                <w:b/>
                <w:color w:val="auto"/>
                <w:sz w:val="24"/>
                <w:szCs w:val="24"/>
              </w:rPr>
              <w:t xml:space="preserve">  </w:t>
            </w:r>
            <w:r>
              <w:rPr>
                <w:rFonts w:cs="Calibri" w:ascii="Arial" w:hAnsi="Arial" w:cstheme="minorHAnsi"/>
                <w:color w:val="auto"/>
                <w:sz w:val="24"/>
                <w:szCs w:val="24"/>
              </w:rPr>
              <w:t>wydzielono w księgach rachunkowych dodatkowe konta analityczne " VAT".   MPP może być stosowany wyłącznie w odniesieniu do transakcji dokonywanych przez podatników VAT na rzecz innych podatników VAT. Stosowanie mechanizmu split payment jest dobrowolne.</w:t>
            </w:r>
          </w:p>
          <w:p>
            <w:pPr>
              <w:pStyle w:val="Normal"/>
              <w:numPr>
                <w:ilvl w:val="0"/>
                <w:numId w:val="16"/>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Sprawozdawczość finansowa:</w:t>
            </w:r>
          </w:p>
          <w:p>
            <w:pPr>
              <w:pStyle w:val="Normal"/>
              <w:numPr>
                <w:ilvl w:val="0"/>
                <w:numId w:val="1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18"/>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 xml:space="preserve"> </w:t>
            </w:r>
            <w:r>
              <w:rPr>
                <w:rFonts w:cs="Calibri" w:ascii="Arial" w:hAnsi="Arial" w:cstheme="minorHAnsi"/>
                <w:bCs/>
                <w:iCs/>
                <w:color w:val="auto"/>
                <w:sz w:val="24"/>
                <w:szCs w:val="24"/>
              </w:rPr>
              <w:t>Księgi rachunkowe prowadzi się techniką komputerową wg następującego oprogramowania:</w:t>
            </w:r>
          </w:p>
          <w:p>
            <w:pPr>
              <w:pStyle w:val="Normal"/>
              <w:spacing w:lineRule="auto" w:line="240" w:before="0" w:after="0"/>
              <w:jc w:val="both"/>
              <w:rPr>
                <w:rFonts w:ascii="Arial" w:hAnsi="Arial"/>
                <w:color w:val="auto"/>
                <w:sz w:val="24"/>
                <w:szCs w:val="24"/>
              </w:rPr>
            </w:pPr>
            <w:r>
              <w:rPr>
                <w:rFonts w:cs="Calibri" w:ascii="Arial" w:hAnsi="Arial" w:cstheme="minorHAnsi"/>
                <w:color w:val="auto"/>
                <w:sz w:val="24"/>
                <w:szCs w:val="24"/>
              </w:rPr>
              <w:t>1. Vulcan aplikacja Finanse VULCAN wersja zgodna z aktualizacjami programu - firma Vulcan Sp.</w:t>
              <w:br/>
              <w:t xml:space="preserve">z o.o. ul. Wołowska 6, 51-116 Wrocław. Administratorem platformy systemu Vulcan jest Gmina Miasto Włocławek. </w:t>
            </w:r>
          </w:p>
        </w:tc>
      </w:tr>
      <w:tr>
        <w:trPr/>
        <w:tc>
          <w:tcPr>
            <w:tcW w:w="485"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5.</w:t>
            </w:r>
          </w:p>
        </w:tc>
        <w:tc>
          <w:tcPr>
            <w:tcW w:w="14640" w:type="dxa"/>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c>
          <w:tcPr>
            <w:tcW w:w="485" w:type="dxa"/>
            <w:tcBorders/>
            <w:shd w:fill="auto" w:val="clear"/>
          </w:tcPr>
          <w:p>
            <w:pPr>
              <w:pStyle w:val="Normal"/>
              <w:spacing w:lineRule="auto" w:line="240" w:before="0" w:after="0"/>
              <w:rPr>
                <w:rFonts w:cs="Calibri" w:cstheme="minorHAnsi"/>
                <w:b/>
                <w:b/>
                <w:sz w:val="20"/>
                <w:szCs w:val="20"/>
              </w:rPr>
            </w:pPr>
            <w:r>
              <w:rPr>
                <w:rFonts w:cs="Calibri" w:ascii="Arial" w:hAnsi="Arial" w:cstheme="minorHAnsi"/>
                <w:b/>
                <w:color w:val="auto"/>
                <w:sz w:val="24"/>
                <w:szCs w:val="24"/>
              </w:rPr>
              <w:t>II.</w:t>
            </w:r>
          </w:p>
        </w:tc>
        <w:tc>
          <w:tcPr>
            <w:tcW w:w="14640" w:type="dxa"/>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c>
          <w:tcPr>
            <w:tcW w:w="485"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w:t>
            </w:r>
          </w:p>
        </w:tc>
        <w:tc>
          <w:tcPr>
            <w:tcW w:w="14640"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rHeight w:val="70" w:hRule="atLeast"/>
        </w:trPr>
        <w:tc>
          <w:tcPr>
            <w:tcW w:w="485"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1.1</w:t>
            </w:r>
          </w:p>
        </w:tc>
        <w:tc>
          <w:tcPr>
            <w:tcW w:w="14640" w:type="dxa"/>
            <w:tcBorders/>
            <w:shd w:fill="auto" w:val="clear"/>
          </w:tcPr>
          <w:p>
            <w:pPr>
              <w:pStyle w:val="Normal"/>
              <w:widowControl w:val="false"/>
              <w:spacing w:lineRule="auto" w:line="249" w:before="47" w:after="16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lineRule="auto" w:line="240" w:before="0" w:after="0"/>
              <w:rPr>
                <w:rFonts w:ascii="Arial" w:hAnsi="Arial"/>
                <w:color w:val="auto"/>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bl>
            <w:tblPr>
              <w:tblW w:w="14426" w:type="dxa"/>
              <w:jc w:val="left"/>
              <w:tblInd w:w="0" w:type="dxa"/>
              <w:tblCellMar>
                <w:top w:w="0" w:type="dxa"/>
                <w:left w:w="70" w:type="dxa"/>
                <w:bottom w:w="0" w:type="dxa"/>
                <w:right w:w="70" w:type="dxa"/>
              </w:tblCellMar>
              <w:tblLook w:firstRow="1" w:noVBand="1" w:lastRow="0" w:firstColumn="1" w:lastColumn="0" w:noHBand="0" w:val="04a0"/>
            </w:tblPr>
            <w:tblGrid>
              <w:gridCol w:w="214"/>
              <w:gridCol w:w="1277"/>
              <w:gridCol w:w="932"/>
              <w:gridCol w:w="377"/>
              <w:gridCol w:w="567"/>
              <w:gridCol w:w="425"/>
              <w:gridCol w:w="424"/>
              <w:gridCol w:w="567"/>
              <w:gridCol w:w="400"/>
              <w:gridCol w:w="591"/>
              <w:gridCol w:w="407"/>
              <w:gridCol w:w="975"/>
              <w:gridCol w:w="853"/>
              <w:gridCol w:w="454"/>
              <w:gridCol w:w="628"/>
              <w:gridCol w:w="646"/>
              <w:gridCol w:w="3"/>
              <w:gridCol w:w="564"/>
              <w:gridCol w:w="3"/>
              <w:gridCol w:w="449"/>
              <w:gridCol w:w="2"/>
              <w:gridCol w:w="954"/>
              <w:gridCol w:w="3"/>
              <w:gridCol w:w="987"/>
              <w:gridCol w:w="1720"/>
            </w:tblGrid>
            <w:tr>
              <w:trPr>
                <w:trHeight w:val="330" w:hRule="atLeast"/>
              </w:trPr>
              <w:tc>
                <w:tcPr>
                  <w:tcW w:w="14422" w:type="dxa"/>
                  <w:gridSpan w:val="25"/>
                  <w:tcBorders/>
                  <w:shd w:color="auto" w:fill="auto" w:val="clear"/>
                  <w:vAlign w:val="center"/>
                </w:tcPr>
                <w:p>
                  <w:pPr>
                    <w:pStyle w:val="Normal"/>
                    <w:spacing w:lineRule="auto" w:line="240" w:before="0" w:after="0"/>
                    <w:rPr>
                      <w:rFonts w:ascii="Arial Narrow" w:hAnsi="Arial Narrow" w:eastAsia="Times New Roman" w:cs="Calibri"/>
                      <w:b/>
                      <w:b/>
                      <w:bCs/>
                      <w:color w:val="000000"/>
                      <w:u w:val="single"/>
                      <w:lang w:eastAsia="pl-PL"/>
                    </w:rPr>
                  </w:pPr>
                  <w:r>
                    <w:rPr>
                      <w:rFonts w:eastAsia="Times New Roman" w:cs="Calibri" w:ascii="Arial" w:hAnsi="Arial"/>
                      <w:b/>
                      <w:bCs/>
                      <w:color w:val="auto"/>
                      <w:sz w:val="24"/>
                      <w:szCs w:val="24"/>
                      <w:u w:val="single"/>
                      <w:lang w:eastAsia="pl-PL"/>
                    </w:rPr>
                    <w:t xml:space="preserve">Główne składniki aktywów trwałych - </w:t>
                  </w:r>
                </w:p>
              </w:tc>
            </w:tr>
            <w:tr>
              <w:trPr>
                <w:trHeight w:val="330" w:hRule="atLeast"/>
              </w:trPr>
              <w:tc>
                <w:tcPr>
                  <w:tcW w:w="21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1277"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932"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377"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567"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425"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42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567"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400"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591"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407"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975"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853"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45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628"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64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567"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452"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95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990"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1720"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r>
            <w:tr>
              <w:trPr>
                <w:trHeight w:val="510" w:hRule="atLeast"/>
              </w:trPr>
              <w:tc>
                <w:tcPr>
                  <w:tcW w:w="214"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Lp.</w:t>
                  </w:r>
                </w:p>
              </w:tc>
              <w:tc>
                <w:tcPr>
                  <w:tcW w:w="1277"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Nazwa grupy rodzajowej składnika aktywów trwałych</w:t>
                  </w:r>
                </w:p>
              </w:tc>
              <w:tc>
                <w:tcPr>
                  <w:tcW w:w="932"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Wartość poczatkowa - stan na poczatek roku obrotowego</w:t>
                  </w:r>
                </w:p>
              </w:tc>
              <w:tc>
                <w:tcPr>
                  <w:tcW w:w="1369"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Zwiększenie wartości poczatkowej</w:t>
                  </w:r>
                </w:p>
              </w:tc>
              <w:tc>
                <w:tcPr>
                  <w:tcW w:w="424"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Ogółem zwiększenie wartości początkowej (4+5+6)</w:t>
                  </w:r>
                </w:p>
              </w:tc>
              <w:tc>
                <w:tcPr>
                  <w:tcW w:w="1558"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Zmniejszenie wartości początkowej</w:t>
                  </w:r>
                </w:p>
              </w:tc>
              <w:tc>
                <w:tcPr>
                  <w:tcW w:w="407"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Ogółem zmniejszenie wartości poczatkowej                                                                                                                              (8+9+10)</w:t>
                  </w:r>
                </w:p>
              </w:tc>
              <w:tc>
                <w:tcPr>
                  <w:tcW w:w="97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Wartość poczatkowa - stan na koniec roku obrotowego                                                                                                                                           (3+7-11)</w:t>
                  </w:r>
                </w:p>
              </w:tc>
              <w:tc>
                <w:tcPr>
                  <w:tcW w:w="853" w:type="dxa"/>
                  <w:vMerge w:val="restart"/>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Umorzenie - stan na początek roku obrotowego</w:t>
                  </w:r>
                </w:p>
              </w:tc>
              <w:tc>
                <w:tcPr>
                  <w:tcW w:w="1731"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Zwiększenia w ciągu roku obrotowego</w:t>
                  </w:r>
                </w:p>
              </w:tc>
              <w:tc>
                <w:tcPr>
                  <w:tcW w:w="567"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Ogółem zwiększenie umorzenia (14+15+16)</w:t>
                  </w:r>
                </w:p>
              </w:tc>
              <w:tc>
                <w:tcPr>
                  <w:tcW w:w="451"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Zmniejszenie umorzenia</w:t>
                  </w:r>
                </w:p>
              </w:tc>
              <w:tc>
                <w:tcPr>
                  <w:tcW w:w="957"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Umorzenie - stan na koniec roku obrotowego                                                                                                 (13+17-18)</w:t>
                  </w:r>
                </w:p>
              </w:tc>
              <w:tc>
                <w:tcPr>
                  <w:tcW w:w="2707"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Wartość netto składników aktywów</w:t>
                  </w:r>
                </w:p>
              </w:tc>
            </w:tr>
            <w:tr>
              <w:trPr>
                <w:trHeight w:val="1695" w:hRule="atLeast"/>
              </w:trPr>
              <w:tc>
                <w:tcPr>
                  <w:tcW w:w="214"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1277"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32"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377"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Aktualizacja</w:t>
                  </w:r>
                </w:p>
              </w:tc>
              <w:tc>
                <w:tcPr>
                  <w:tcW w:w="567"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Przychody</w:t>
                  </w:r>
                </w:p>
              </w:tc>
              <w:tc>
                <w:tcPr>
                  <w:tcW w:w="425"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Przemieszczenie</w:t>
                  </w:r>
                </w:p>
              </w:tc>
              <w:tc>
                <w:tcPr>
                  <w:tcW w:w="424"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67" w:type="dxa"/>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Zbycie</w:t>
                  </w:r>
                </w:p>
              </w:tc>
              <w:tc>
                <w:tcPr>
                  <w:tcW w:w="400"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Likwidacja</w:t>
                  </w:r>
                </w:p>
              </w:tc>
              <w:tc>
                <w:tcPr>
                  <w:tcW w:w="591" w:type="dxa"/>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Inne</w:t>
                  </w:r>
                </w:p>
              </w:tc>
              <w:tc>
                <w:tcPr>
                  <w:tcW w:w="407"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75"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53"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54"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Aktualizacja</w:t>
                  </w:r>
                </w:p>
              </w:tc>
              <w:tc>
                <w:tcPr>
                  <w:tcW w:w="628"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Amortyzacja za rok obrotowy</w:t>
                  </w:r>
                </w:p>
              </w:tc>
              <w:tc>
                <w:tcPr>
                  <w:tcW w:w="646"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Inne</w:t>
                  </w:r>
                </w:p>
              </w:tc>
              <w:tc>
                <w:tcPr>
                  <w:tcW w:w="567"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52"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56"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Stan na poczatek roku obrotowego                                                                                                                                                                           (3-13)</w:t>
                  </w:r>
                </w:p>
              </w:tc>
              <w:tc>
                <w:tcPr>
                  <w:tcW w:w="172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Stan na koniec roku obrotowego                                                                                                                                                                          (12-19)</w:t>
                  </w:r>
                </w:p>
              </w:tc>
            </w:tr>
            <w:tr>
              <w:trPr>
                <w:trHeight w:val="199" w:hRule="atLeast"/>
              </w:trPr>
              <w:tc>
                <w:tcPr>
                  <w:tcW w:w="21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1</w:t>
                  </w:r>
                </w:p>
              </w:tc>
              <w:tc>
                <w:tcPr>
                  <w:tcW w:w="127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2</w:t>
                  </w:r>
                </w:p>
              </w:tc>
              <w:tc>
                <w:tcPr>
                  <w:tcW w:w="932"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3</w:t>
                  </w:r>
                </w:p>
              </w:tc>
              <w:tc>
                <w:tcPr>
                  <w:tcW w:w="37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4</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5</w:t>
                  </w:r>
                </w:p>
              </w:tc>
              <w:tc>
                <w:tcPr>
                  <w:tcW w:w="42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6</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7</w:t>
                  </w:r>
                </w:p>
              </w:tc>
              <w:tc>
                <w:tcPr>
                  <w:tcW w:w="56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8</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9</w:t>
                  </w:r>
                </w:p>
              </w:tc>
              <w:tc>
                <w:tcPr>
                  <w:tcW w:w="591"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10</w:t>
                  </w:r>
                </w:p>
              </w:tc>
              <w:tc>
                <w:tcPr>
                  <w:tcW w:w="407"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11</w:t>
                  </w:r>
                </w:p>
              </w:tc>
              <w:tc>
                <w:tcPr>
                  <w:tcW w:w="97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12</w:t>
                  </w:r>
                </w:p>
              </w:tc>
              <w:tc>
                <w:tcPr>
                  <w:tcW w:w="85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13</w:t>
                  </w:r>
                </w:p>
              </w:tc>
              <w:tc>
                <w:tcPr>
                  <w:tcW w:w="45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14</w:t>
                  </w:r>
                </w:p>
              </w:tc>
              <w:tc>
                <w:tcPr>
                  <w:tcW w:w="62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15</w:t>
                  </w:r>
                </w:p>
              </w:tc>
              <w:tc>
                <w:tcPr>
                  <w:tcW w:w="64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16</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17</w:t>
                  </w:r>
                </w:p>
              </w:tc>
              <w:tc>
                <w:tcPr>
                  <w:tcW w:w="4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18</w:t>
                  </w:r>
                </w:p>
              </w:tc>
              <w:tc>
                <w:tcPr>
                  <w:tcW w:w="9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19</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20</w:t>
                  </w:r>
                </w:p>
              </w:tc>
              <w:tc>
                <w:tcPr>
                  <w:tcW w:w="172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0"/>
                      <w:szCs w:val="10"/>
                      <w:lang w:eastAsia="pl-PL"/>
                    </w:rPr>
                  </w:pPr>
                  <w:r>
                    <w:rPr>
                      <w:rFonts w:eastAsia="Times New Roman" w:cs="Calibri" w:ascii="Arial" w:hAnsi="Arial"/>
                      <w:i/>
                      <w:iCs/>
                      <w:color w:val="auto"/>
                      <w:sz w:val="24"/>
                      <w:szCs w:val="24"/>
                      <w:lang w:eastAsia="pl-PL"/>
                    </w:rPr>
                    <w:t>21</w:t>
                  </w:r>
                </w:p>
              </w:tc>
            </w:tr>
            <w:tr>
              <w:trPr>
                <w:trHeight w:val="1005" w:hRule="atLeast"/>
              </w:trPr>
              <w:tc>
                <w:tcPr>
                  <w:tcW w:w="21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1.</w:t>
                  </w:r>
                </w:p>
              </w:tc>
              <w:tc>
                <w:tcPr>
                  <w:tcW w:w="127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Wartości niematerialne                          i prawne</w:t>
                  </w:r>
                </w:p>
              </w:tc>
              <w:tc>
                <w:tcPr>
                  <w:tcW w:w="93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26 785,51</w:t>
                  </w:r>
                </w:p>
              </w:tc>
              <w:tc>
                <w:tcPr>
                  <w:tcW w:w="37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59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4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9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26 785,51</w:t>
                  </w:r>
                </w:p>
              </w:tc>
              <w:tc>
                <w:tcPr>
                  <w:tcW w:w="85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26 785,51</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62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6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4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9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26 785,51</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172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r>
            <w:tr>
              <w:trPr>
                <w:trHeight w:val="960" w:hRule="atLeast"/>
              </w:trPr>
              <w:tc>
                <w:tcPr>
                  <w:tcW w:w="21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2.</w:t>
                  </w:r>
                </w:p>
              </w:tc>
              <w:tc>
                <w:tcPr>
                  <w:tcW w:w="127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Środki trwałe</w:t>
                  </w:r>
                </w:p>
              </w:tc>
              <w:tc>
                <w:tcPr>
                  <w:tcW w:w="93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16 034 539,13</w:t>
                  </w:r>
                </w:p>
              </w:tc>
              <w:tc>
                <w:tcPr>
                  <w:tcW w:w="37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59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4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9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16 034 539,13</w:t>
                  </w:r>
                </w:p>
              </w:tc>
              <w:tc>
                <w:tcPr>
                  <w:tcW w:w="85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4 752 299,48</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62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437 151,96</w:t>
                  </w:r>
                </w:p>
              </w:tc>
              <w:tc>
                <w:tcPr>
                  <w:tcW w:w="6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437 151,96</w:t>
                  </w:r>
                </w:p>
              </w:tc>
              <w:tc>
                <w:tcPr>
                  <w:tcW w:w="4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9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5 189 451,44</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11 282 239,65</w:t>
                  </w:r>
                </w:p>
              </w:tc>
              <w:tc>
                <w:tcPr>
                  <w:tcW w:w="172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10 845 087,69</w:t>
                  </w:r>
                </w:p>
              </w:tc>
            </w:tr>
            <w:tr>
              <w:trPr>
                <w:trHeight w:val="810" w:hRule="atLeast"/>
              </w:trPr>
              <w:tc>
                <w:tcPr>
                  <w:tcW w:w="21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1)</w:t>
                  </w:r>
                </w:p>
              </w:tc>
              <w:tc>
                <w:tcPr>
                  <w:tcW w:w="127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grunty</w:t>
                  </w:r>
                </w:p>
              </w:tc>
              <w:tc>
                <w:tcPr>
                  <w:tcW w:w="93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697 124,30</w:t>
                  </w:r>
                </w:p>
              </w:tc>
              <w:tc>
                <w:tcPr>
                  <w:tcW w:w="37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9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9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697 124,30</w:t>
                  </w:r>
                </w:p>
              </w:tc>
              <w:tc>
                <w:tcPr>
                  <w:tcW w:w="85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 </w:t>
                  </w:r>
                </w:p>
              </w:tc>
              <w:tc>
                <w:tcPr>
                  <w:tcW w:w="62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6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9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697 124,30</w:t>
                  </w:r>
                </w:p>
              </w:tc>
              <w:tc>
                <w:tcPr>
                  <w:tcW w:w="172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697 124,30</w:t>
                  </w:r>
                </w:p>
              </w:tc>
            </w:tr>
            <w:tr>
              <w:trPr>
                <w:trHeight w:val="1185" w:hRule="atLeast"/>
              </w:trPr>
              <w:tc>
                <w:tcPr>
                  <w:tcW w:w="21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2)</w:t>
                  </w:r>
                </w:p>
              </w:tc>
              <w:tc>
                <w:tcPr>
                  <w:tcW w:w="127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budynki, lokale i obiekty inżynierii lądowej i wodnej</w:t>
                  </w:r>
                </w:p>
              </w:tc>
              <w:tc>
                <w:tcPr>
                  <w:tcW w:w="93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15 301 964,83</w:t>
                  </w:r>
                </w:p>
              </w:tc>
              <w:tc>
                <w:tcPr>
                  <w:tcW w:w="37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9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9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15 301 964,83</w:t>
                  </w:r>
                </w:p>
              </w:tc>
              <w:tc>
                <w:tcPr>
                  <w:tcW w:w="85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4 728 749,48</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62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435 951,96</w:t>
                  </w:r>
                </w:p>
              </w:tc>
              <w:tc>
                <w:tcPr>
                  <w:tcW w:w="6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435 951,96</w:t>
                  </w:r>
                </w:p>
              </w:tc>
              <w:tc>
                <w:tcPr>
                  <w:tcW w:w="4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9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5 164 701,44</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10 573 215,35</w:t>
                  </w:r>
                </w:p>
              </w:tc>
              <w:tc>
                <w:tcPr>
                  <w:tcW w:w="172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10 137 263,39</w:t>
                  </w:r>
                </w:p>
              </w:tc>
            </w:tr>
            <w:tr>
              <w:trPr>
                <w:trHeight w:val="885" w:hRule="atLeast"/>
              </w:trPr>
              <w:tc>
                <w:tcPr>
                  <w:tcW w:w="21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3)</w:t>
                  </w:r>
                </w:p>
              </w:tc>
              <w:tc>
                <w:tcPr>
                  <w:tcW w:w="127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urządzenia techniczne i maszyny</w:t>
                  </w:r>
                </w:p>
              </w:tc>
              <w:tc>
                <w:tcPr>
                  <w:tcW w:w="93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37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9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9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85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62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6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9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172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r>
            <w:tr>
              <w:trPr>
                <w:trHeight w:val="545" w:hRule="atLeast"/>
              </w:trPr>
              <w:tc>
                <w:tcPr>
                  <w:tcW w:w="21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4)</w:t>
                  </w:r>
                </w:p>
              </w:tc>
              <w:tc>
                <w:tcPr>
                  <w:tcW w:w="127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środki transportu</w:t>
                  </w:r>
                </w:p>
              </w:tc>
              <w:tc>
                <w:tcPr>
                  <w:tcW w:w="93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37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9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9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85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62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6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9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172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r>
            <w:tr>
              <w:trPr>
                <w:trHeight w:val="975" w:hRule="atLeast"/>
              </w:trPr>
              <w:tc>
                <w:tcPr>
                  <w:tcW w:w="21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5)</w:t>
                  </w:r>
                </w:p>
              </w:tc>
              <w:tc>
                <w:tcPr>
                  <w:tcW w:w="1277"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inne środki trwałe</w:t>
                  </w:r>
                </w:p>
              </w:tc>
              <w:tc>
                <w:tcPr>
                  <w:tcW w:w="93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35 450,00</w:t>
                  </w:r>
                </w:p>
              </w:tc>
              <w:tc>
                <w:tcPr>
                  <w:tcW w:w="37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9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4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9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35 450,00</w:t>
                  </w:r>
                </w:p>
              </w:tc>
              <w:tc>
                <w:tcPr>
                  <w:tcW w:w="85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23 550,00</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62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1 200,00</w:t>
                  </w:r>
                </w:p>
              </w:tc>
              <w:tc>
                <w:tcPr>
                  <w:tcW w:w="6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1 200,00</w:t>
                  </w:r>
                </w:p>
              </w:tc>
              <w:tc>
                <w:tcPr>
                  <w:tcW w:w="4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0,00</w:t>
                  </w:r>
                </w:p>
              </w:tc>
              <w:tc>
                <w:tcPr>
                  <w:tcW w:w="9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24 750,00</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11 900,00</w:t>
                  </w:r>
                </w:p>
              </w:tc>
              <w:tc>
                <w:tcPr>
                  <w:tcW w:w="172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10 700,00</w:t>
                  </w:r>
                </w:p>
              </w:tc>
            </w:tr>
            <w:tr>
              <w:trPr>
                <w:trHeight w:val="630" w:hRule="atLeast"/>
              </w:trPr>
              <w:tc>
                <w:tcPr>
                  <w:tcW w:w="21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i/>
                      <w:i/>
                      <w:iCs/>
                      <w:color w:val="000000"/>
                      <w:sz w:val="10"/>
                      <w:szCs w:val="10"/>
                      <w:lang w:eastAsia="pl-PL"/>
                    </w:rPr>
                  </w:pPr>
                  <w:r>
                    <w:rPr>
                      <w:rFonts w:eastAsia="Times New Roman" w:cs="Calibri" w:ascii="Arial" w:hAnsi="Arial"/>
                      <w:b/>
                      <w:bCs/>
                      <w:i/>
                      <w:iCs/>
                      <w:color w:val="auto"/>
                      <w:sz w:val="24"/>
                      <w:szCs w:val="24"/>
                      <w:lang w:eastAsia="pl-PL"/>
                    </w:rPr>
                    <w:t> </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Calibri"/>
                      <w:color w:val="000000"/>
                      <w:sz w:val="10"/>
                      <w:szCs w:val="10"/>
                      <w:lang w:eastAsia="pl-PL"/>
                    </w:rPr>
                  </w:pPr>
                  <w:r>
                    <w:rPr>
                      <w:rFonts w:eastAsia="Times New Roman" w:cs="Calibri" w:ascii="Arial" w:hAnsi="Arial"/>
                      <w:color w:val="auto"/>
                      <w:sz w:val="24"/>
                      <w:szCs w:val="24"/>
                      <w:lang w:eastAsia="pl-PL"/>
                    </w:rPr>
                    <w:t> </w:t>
                  </w:r>
                </w:p>
              </w:tc>
              <w:tc>
                <w:tcPr>
                  <w:tcW w:w="93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16 061 324,64</w:t>
                  </w:r>
                </w:p>
              </w:tc>
              <w:tc>
                <w:tcPr>
                  <w:tcW w:w="37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42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42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56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40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591"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407"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97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16 061 324,64</w:t>
                  </w:r>
                </w:p>
              </w:tc>
              <w:tc>
                <w:tcPr>
                  <w:tcW w:w="85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4 779 084,99</w:t>
                  </w:r>
                </w:p>
              </w:tc>
              <w:tc>
                <w:tcPr>
                  <w:tcW w:w="45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628"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437 151,96</w:t>
                  </w:r>
                </w:p>
              </w:tc>
              <w:tc>
                <w:tcPr>
                  <w:tcW w:w="64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56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437 151,96</w:t>
                  </w:r>
                </w:p>
              </w:tc>
              <w:tc>
                <w:tcPr>
                  <w:tcW w:w="45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0,00</w:t>
                  </w:r>
                </w:p>
              </w:tc>
              <w:tc>
                <w:tcPr>
                  <w:tcW w:w="9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5 216 236,95</w:t>
                  </w:r>
                </w:p>
              </w:tc>
              <w:tc>
                <w:tcPr>
                  <w:tcW w:w="99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11 282 239,65</w:t>
                  </w:r>
                </w:p>
              </w:tc>
              <w:tc>
                <w:tcPr>
                  <w:tcW w:w="172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color w:val="000000"/>
                      <w:sz w:val="10"/>
                      <w:szCs w:val="10"/>
                      <w:lang w:eastAsia="pl-PL"/>
                    </w:rPr>
                  </w:pPr>
                  <w:r>
                    <w:rPr>
                      <w:rFonts w:eastAsia="Times New Roman" w:cs="Calibri" w:ascii="Arial" w:hAnsi="Arial"/>
                      <w:b/>
                      <w:bCs/>
                      <w:color w:val="auto"/>
                      <w:sz w:val="24"/>
                      <w:szCs w:val="24"/>
                      <w:lang w:eastAsia="pl-PL"/>
                    </w:rPr>
                    <w:t>10 845 087,69</w:t>
                  </w:r>
                </w:p>
              </w:tc>
            </w:tr>
          </w:tbl>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1.2</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1.3</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1.4</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1.5</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1.6.</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1.7.</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1.8.</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1.9.</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a)</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1 roku do 3 lat</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b)</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3 do 5 lat</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c)</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powyżej 5 lat</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1.10.</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1.11.</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1.12.</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1.13.</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1.14.</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1.15.</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kwotę wypłaconych środków pieniężnych na świadczenia pracownicze</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color w:val="FF0000"/>
                <w:sz w:val="24"/>
                <w:szCs w:val="24"/>
              </w:rPr>
            </w:pPr>
            <w:r>
              <w:rPr>
                <w:rFonts w:ascii="Arial" w:hAnsi="Arial"/>
                <w:color w:val="auto"/>
                <w:sz w:val="24"/>
                <w:szCs w:val="24"/>
              </w:rPr>
              <w:t>232 159,37 zł</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1.16.</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inne informacje</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Umorzenie pozostałych środków trwałych  1 156 107,26 zł</w:t>
            </w:r>
          </w:p>
          <w:p>
            <w:pPr>
              <w:pStyle w:val="Normal"/>
              <w:spacing w:lineRule="auto" w:line="240" w:before="0" w:after="0"/>
              <w:rPr>
                <w:b/>
                <w:b/>
                <w:sz w:val="24"/>
                <w:szCs w:val="24"/>
              </w:rPr>
            </w:pPr>
            <w:r>
              <w:rPr>
                <w:rFonts w:ascii="Arial" w:hAnsi="Arial"/>
                <w:color w:val="auto"/>
                <w:sz w:val="24"/>
                <w:szCs w:val="24"/>
              </w:rPr>
              <w:t>Umorzenie zbiorów bibliotecznych  120 992,79 zł</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2.</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2.1.</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2.2.</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wystąpił</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2.3.</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color w:val="2E2014"/>
                <w:sz w:val="20"/>
                <w:szCs w:val="20"/>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p>
            <w:pPr>
              <w:pStyle w:val="Normal"/>
              <w:widowControl w:val="false"/>
              <w:spacing w:lineRule="auto" w:line="249" w:before="47" w:after="160"/>
              <w:ind w:right="40" w:hanging="0"/>
              <w:rPr>
                <w:sz w:val="24"/>
                <w:szCs w:val="24"/>
              </w:rPr>
            </w:pPr>
            <w:r>
              <w:rPr>
                <w:rFonts w:ascii="Arial" w:hAnsi="Arial"/>
                <w:color w:val="auto"/>
                <w:sz w:val="24"/>
                <w:szCs w:val="24"/>
              </w:rPr>
              <w:t>32 325,35 zł Fundusz Pomocy Ukrainie</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wystąpiły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2.4.</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2.5.</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inne informacje</w:t>
            </w:r>
          </w:p>
        </w:tc>
      </w:tr>
      <w:tr>
        <w:trPr/>
        <w:tc>
          <w:tcPr>
            <w:tcW w:w="4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3.</w:t>
            </w:r>
          </w:p>
        </w:tc>
        <w:tc>
          <w:tcPr>
            <w:tcW w:w="1464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4">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0103-8EDB-4923-9A3B-8536D798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LibreOffice/6.2.3.2$Windows_x86 LibreOffice_project/aecc05fe267cc68dde00352a451aa867b3b546ac</Application>
  <Pages>11</Pages>
  <Words>3363</Words>
  <Characters>21571</Characters>
  <CharactersWithSpaces>25323</CharactersWithSpaces>
  <Paragraphs>434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2025-03-19T12:52:00Z</dcterms:created>
  <dc:creator>Marietta Ulatowska</dc:creator>
  <dc:description/>
  <cp:keywords>Informacja dodatkowa</cp:keywords>
  <dc:language>pl-PL</dc:language>
  <cp:lastModifiedBy/>
  <cp:lastPrinted>2025-02-27T08:10:00Z</cp:lastPrinted>
  <dcterms:modified xsi:type="dcterms:W3CDTF">2025-05-05T12:05:53Z</dcterms:modified>
  <cp:revision>4</cp:revision>
  <dc:subject/>
  <dc:title>ILO INFORMACJA DODATKOWA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