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Narrow" w:hAnsi="Arial Narrow"/>
          <w:b/>
          <w:b/>
          <w:color w:val="2E2014"/>
        </w:rPr>
      </w:pPr>
      <w:r>
        <w:rPr>
          <w:rFonts w:ascii="Arial" w:hAnsi="Arial"/>
          <w:b/>
          <w:color w:val="auto"/>
          <w:sz w:val="24"/>
          <w:szCs w:val="24"/>
        </w:rPr>
        <w:t>INFORMACJA  DODATKOWA</w:t>
      </w:r>
    </w:p>
    <w:p>
      <w:pPr>
        <w:pStyle w:val="Normal"/>
        <w:rPr>
          <w:rFonts w:ascii="Arial" w:hAnsi="Arial"/>
          <w:b/>
          <w:b/>
          <w:color w:val="auto"/>
          <w:sz w:val="24"/>
          <w:szCs w:val="24"/>
        </w:rPr>
      </w:pPr>
      <w:r>
        <w:rPr>
          <w:rFonts w:ascii="Arial" w:hAnsi="Arial"/>
          <w:b/>
          <w:color w:val="auto"/>
          <w:sz w:val="24"/>
          <w:szCs w:val="24"/>
        </w:rPr>
      </w:r>
    </w:p>
    <w:tbl>
      <w:tblPr>
        <w:tblStyle w:val="Tabela-Siatka"/>
        <w:tblW w:w="15352" w:type="dxa"/>
        <w:jc w:val="left"/>
        <w:tblInd w:w="0" w:type="dxa"/>
        <w:tblCellMar>
          <w:top w:w="0" w:type="dxa"/>
          <w:left w:w="108" w:type="dxa"/>
          <w:bottom w:w="0" w:type="dxa"/>
          <w:right w:w="108" w:type="dxa"/>
        </w:tblCellMar>
        <w:tblLook w:firstRow="1" w:noVBand="1" w:lastRow="0" w:firstColumn="1" w:lastColumn="0" w:noHBand="0" w:val="04a0"/>
      </w:tblPr>
      <w:tblGrid>
        <w:gridCol w:w="532"/>
        <w:gridCol w:w="14819"/>
      </w:tblGrid>
      <w:tr>
        <w:trPr/>
        <w:tc>
          <w:tcPr>
            <w:tcW w:w="532" w:type="dxa"/>
            <w:tcBorders/>
            <w:shd w:fill="auto" w:val="clear"/>
          </w:tcPr>
          <w:p>
            <w:pPr>
              <w:pStyle w:val="Normal"/>
              <w:spacing w:lineRule="auto" w:line="240" w:before="0" w:after="0"/>
              <w:rPr>
                <w:rFonts w:ascii="Arial Narrow" w:hAnsi="Arial Narrow"/>
                <w:b/>
                <w:b/>
                <w:sz w:val="20"/>
                <w:szCs w:val="20"/>
              </w:rPr>
            </w:pPr>
            <w:r>
              <w:rPr>
                <w:rFonts w:ascii="Arial" w:hAnsi="Arial"/>
                <w:b/>
                <w:color w:val="auto"/>
                <w:sz w:val="24"/>
                <w:szCs w:val="24"/>
              </w:rPr>
              <w:t>I.</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b/>
                <w:bCs/>
                <w:color w:val="auto"/>
                <w:sz w:val="24"/>
                <w:szCs w:val="24"/>
              </w:rPr>
              <w:t>Wprowadzenie do sprawozdania finansowego, obejmuje w szczególności:</w:t>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1.</w:t>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1.1</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nazwę jednostki</w:t>
            </w:r>
          </w:p>
        </w:tc>
      </w:tr>
      <w:tr>
        <w:trPr/>
        <w:tc>
          <w:tcPr>
            <w:tcW w:w="532"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rPr>
            </w:pPr>
            <w:r>
              <w:rPr>
                <w:rFonts w:ascii="Arial" w:hAnsi="Arial"/>
                <w:b/>
                <w:color w:val="auto"/>
                <w:sz w:val="24"/>
                <w:szCs w:val="24"/>
              </w:rPr>
              <w:t>Zespół Szkolno-Przedszkolny nr 2</w:t>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1.2</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siedzibę jednostki</w:t>
            </w:r>
          </w:p>
        </w:tc>
      </w:tr>
      <w:tr>
        <w:trPr/>
        <w:tc>
          <w:tcPr>
            <w:tcW w:w="532"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sz w:val="24"/>
                <w:szCs w:val="24"/>
              </w:rPr>
            </w:pPr>
            <w:r>
              <w:rPr>
                <w:rFonts w:ascii="Arial" w:hAnsi="Arial"/>
                <w:b/>
                <w:color w:val="auto"/>
                <w:sz w:val="24"/>
                <w:szCs w:val="24"/>
              </w:rPr>
              <w:t>87-800 Włocławek ul. Szkolna 13</w:t>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1.3</w:t>
            </w:r>
          </w:p>
        </w:tc>
        <w:tc>
          <w:tcPr>
            <w:tcW w:w="14819" w:type="dxa"/>
            <w:tcBorders/>
            <w:shd w:fill="auto" w:val="clear"/>
          </w:tcPr>
          <w:p>
            <w:pPr>
              <w:pStyle w:val="Normal"/>
              <w:spacing w:lineRule="auto" w:line="240" w:before="0" w:after="0"/>
              <w:rPr>
                <w:rFonts w:ascii="Arial Narrow" w:hAnsi="Arial Narrow"/>
                <w:color w:val="2E2014"/>
                <w:sz w:val="20"/>
                <w:szCs w:val="20"/>
              </w:rPr>
            </w:pPr>
            <w:r>
              <w:rPr>
                <w:rFonts w:ascii="Arial" w:hAnsi="Arial"/>
                <w:color w:val="auto"/>
                <w:sz w:val="24"/>
                <w:szCs w:val="24"/>
              </w:rPr>
              <w:t>adres jednostki</w:t>
            </w:r>
          </w:p>
        </w:tc>
      </w:tr>
      <w:tr>
        <w:trPr/>
        <w:tc>
          <w:tcPr>
            <w:tcW w:w="532"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sz w:val="24"/>
                <w:szCs w:val="24"/>
              </w:rPr>
            </w:pPr>
            <w:r>
              <w:rPr>
                <w:rFonts w:ascii="Arial" w:hAnsi="Arial"/>
                <w:b/>
                <w:color w:val="auto"/>
                <w:sz w:val="24"/>
                <w:szCs w:val="24"/>
              </w:rPr>
              <w:t>87-800 Włocławek ul. Szkolna 13</w:t>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1.4</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podstawowy przedmiot działalności jednostki</w:t>
            </w:r>
          </w:p>
        </w:tc>
      </w:tr>
      <w:tr>
        <w:trPr/>
        <w:tc>
          <w:tcPr>
            <w:tcW w:w="532"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cs="TimesNewRomanPSMT"/>
              </w:rPr>
            </w:pPr>
            <w:r>
              <w:rPr>
                <w:rFonts w:cs="TimesNewRomanPSMT" w:ascii="Arial" w:hAnsi="Arial"/>
                <w:color w:val="auto"/>
                <w:sz w:val="24"/>
                <w:szCs w:val="24"/>
              </w:rPr>
              <w:t>Podstawę prawną działalności  Zespołu Szkolno-Przedszkolnego nr 2 we Włocławku stanowi ustawa z dnia 14 grudnia 2016 r. Prawo</w:t>
            </w:r>
          </w:p>
          <w:p>
            <w:pPr>
              <w:pStyle w:val="Normal"/>
              <w:spacing w:lineRule="auto" w:line="240" w:before="0" w:after="0"/>
              <w:rPr>
                <w:rFonts w:ascii="Arial" w:hAnsi="Arial"/>
                <w:color w:val="auto"/>
                <w:sz w:val="24"/>
                <w:szCs w:val="24"/>
              </w:rPr>
            </w:pPr>
            <w:r>
              <w:rPr>
                <w:rFonts w:cs="TimesNewRomanPSMT" w:ascii="Arial" w:hAnsi="Arial"/>
                <w:color w:val="auto"/>
                <w:sz w:val="24"/>
                <w:szCs w:val="24"/>
              </w:rPr>
              <w:t>Oświatowe (tekst jednolity Dz.U. z 2017 r. poz. 59) oraz wydane do niej przepisy wykonawcze oraz Statut Zespołu Szkolno-Przedszkolnego nr 2.</w:t>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2.</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wskazanie okresu objętego sprawozdaniem</w:t>
            </w:r>
          </w:p>
        </w:tc>
      </w:tr>
      <w:tr>
        <w:trPr/>
        <w:tc>
          <w:tcPr>
            <w:tcW w:w="532"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rPr>
            </w:pPr>
            <w:r>
              <w:rPr>
                <w:rFonts w:ascii="Arial" w:hAnsi="Arial"/>
                <w:b/>
                <w:color w:val="auto"/>
                <w:sz w:val="24"/>
                <w:szCs w:val="24"/>
              </w:rPr>
              <w:t>01 stycznia 2024 - 31 grudnia 2024</w:t>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3.</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532"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shd w:fill="auto" w:val="clear"/>
          </w:tcPr>
          <w:p>
            <w:pPr>
              <w:pStyle w:val="Normal"/>
              <w:spacing w:lineRule="auto" w:line="240" w:before="0" w:after="0"/>
              <w:rPr>
                <w:rFonts w:ascii="Arial Narrow" w:hAnsi="Arial Narrow"/>
                <w:sz w:val="20"/>
                <w:szCs w:val="20"/>
              </w:rPr>
            </w:pPr>
            <w:r>
              <w:rPr>
                <w:rFonts w:ascii="Arial" w:hAnsi="Arial"/>
                <w:color w:val="auto"/>
                <w:sz w:val="24"/>
                <w:szCs w:val="24"/>
              </w:rPr>
              <w:t>4.</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532"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19" w:type="dxa"/>
            <w:tcBorders/>
            <w:shd w:fill="auto" w:val="clear"/>
          </w:tcPr>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Książki i inne zbiory biblioteczne.</w:t>
            </w:r>
          </w:p>
          <w:p>
            <w:pPr>
              <w:pStyle w:val="Normal"/>
              <w:numPr>
                <w:ilvl w:val="0"/>
                <w:numId w:val="6"/>
              </w:numPr>
              <w:spacing w:lineRule="auto" w:line="240" w:before="0" w:after="0"/>
              <w:rPr>
                <w:rFonts w:ascii="Arial" w:hAnsi="Arial"/>
                <w:color w:val="auto"/>
                <w:sz w:val="24"/>
                <w:szCs w:val="24"/>
              </w:rPr>
            </w:pPr>
            <w:r>
              <w:rPr>
                <w:rFonts w:cs="Calibri" w:ascii="Arial" w:hAnsi="Arial" w:cstheme="minorHAnsi"/>
                <w:color w:val="auto"/>
                <w:sz w:val="24"/>
                <w:szCs w:val="24"/>
              </w:rPr>
              <w:t>Ś</w:t>
            </w:r>
            <w:r>
              <w:rPr>
                <w:rFonts w:cs="Calibri" w:ascii="Arial" w:hAnsi="Arial" w:cstheme="minorHAnsi"/>
                <w:color w:val="auto"/>
                <w:sz w:val="24"/>
                <w:szCs w:val="24"/>
              </w:rPr>
              <w:t xml:space="preserve">rodki dydaktyczne służące procesowi dydaktyczno-wychowawczemu realizowanemu w szkołach </w:t>
              <w:br/>
              <w:t>i placówkach oświatowych.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rPr>
                <w:rFonts w:ascii="Arial" w:hAnsi="Arial"/>
                <w:color w:val="auto"/>
                <w:sz w:val="24"/>
                <w:szCs w:val="24"/>
              </w:rPr>
            </w:pPr>
            <w:r>
              <w:rPr>
                <w:rFonts w:cs="Calibri" w:ascii="Arial" w:hAnsi="Arial" w:cstheme="minorHAnsi"/>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w:t>
            </w:r>
            <w:r>
              <w:rPr>
                <w:rFonts w:cs="Calibri" w:ascii="Arial" w:hAnsi="Arial" w:cstheme="minorHAnsi"/>
                <w:color w:val="auto"/>
                <w:sz w:val="24"/>
                <w:szCs w:val="24"/>
              </w:rPr>
              <w:t>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Szczególnie dowodami zastępczymi dokumentowane są:</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160"/>
              <w:contextualSpacing/>
              <w:rPr>
                <w:rFonts w:ascii="Arial" w:hAnsi="Arial"/>
                <w:color w:val="auto"/>
                <w:sz w:val="24"/>
                <w:szCs w:val="24"/>
              </w:rPr>
            </w:pP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rPr>
                <w:rFonts w:ascii="Arial" w:hAnsi="Arial"/>
                <w:color w:val="auto"/>
                <w:sz w:val="24"/>
                <w:szCs w:val="24"/>
              </w:rPr>
            </w:pPr>
            <w:r>
              <w:rPr>
                <w:rFonts w:cs="Calibri" w:ascii="Arial" w:hAnsi="Arial" w:cstheme="minorHAnsi"/>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Rozliczenia z tytułu VAT.</w:t>
            </w:r>
          </w:p>
          <w:p>
            <w:pPr>
              <w:pStyle w:val="Standard"/>
              <w:numPr>
                <w:ilvl w:val="0"/>
                <w:numId w:val="17"/>
              </w:numPr>
              <w:spacing w:lineRule="auto" w:line="240" w:before="0" w:after="0"/>
              <w:jc w:val="both"/>
              <w:rPr>
                <w:rFonts w:ascii="Arial" w:hAnsi="Arial"/>
                <w:color w:val="auto"/>
                <w:sz w:val="24"/>
                <w:szCs w:val="24"/>
              </w:rPr>
            </w:pPr>
            <w:r>
              <w:rPr>
                <w:rFonts w:eastAsia="Arial" w:cs="Arial" w:ascii="Arial" w:hAnsi="Arial"/>
                <w:color w:val="auto"/>
                <w:sz w:val="24"/>
                <w:szCs w:val="24"/>
              </w:rPr>
              <w:t>Z dniem 01 czerwca 2016 roku Gmina Miasto Włocławek wprowadziła scentralizowane zasady rozliczeń podatku od towarów i usług VAT, w związku z powyższym zasady ustalone przez Gminę Miasto Włocławek obejmują jednostki obsługiwane i CUWPO. W sprawie rozliczenia podatku VAT metodą podzielnej płatności obowiązuje Zarządzenie nr 449/2019 Prezydenta Miasta Włocławek z dnia 31 października 2019 r. W celu realizacji MPP (Mechanizm Podzielonej Płatności ) wydzielono w księgach rachunkowych dodatkowe konta analityczne “VAT”.</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bCs/>
                <w:color w:val="auto"/>
                <w:sz w:val="24"/>
                <w:szCs w:val="24"/>
              </w:rPr>
              <w:t>Sprawozdawczość finansowa:</w:t>
            </w:r>
          </w:p>
          <w:p>
            <w:pPr>
              <w:pStyle w:val="Normal"/>
              <w:numPr>
                <w:ilvl w:val="0"/>
                <w:numId w:val="19"/>
              </w:numPr>
              <w:spacing w:lineRule="auto" w:line="240" w:before="0" w:after="0"/>
              <w:jc w:val="both"/>
              <w:rPr>
                <w:rFonts w:ascii="Arial" w:hAnsi="Arial"/>
                <w:color w:val="auto"/>
                <w:sz w:val="24"/>
                <w:szCs w:val="24"/>
              </w:rPr>
            </w:pPr>
            <w:r>
              <w:rPr>
                <w:rFonts w:cs="Calibri" w:ascii="Arial" w:hAnsi="Arial" w:cstheme="minorHAnsi"/>
                <w:color w:val="auto"/>
                <w:sz w:val="24"/>
                <w:szCs w:val="24"/>
              </w:rPr>
              <w:t>Sprawozdania finansowe sporządza się na podstawie własnych ksiąg rachunkowych. Obejmują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 xml:space="preserve"> </w:t>
            </w: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21"/>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Vulcan aplikacja Finanse VULCAN wersja zgodna z aktualizacjami programu - firma Vulcan Sp.</w:t>
              <w:br/>
              <w:t xml:space="preserve">z o.o. ul. Wołowska 6, 51-116 Wrocław. Administratorem platformy systemu Vulcan jest Gmina Miasto Włocławek. </w:t>
            </w:r>
          </w:p>
        </w:tc>
      </w:tr>
      <w:tr>
        <w:trPr/>
        <w:tc>
          <w:tcPr>
            <w:tcW w:w="532" w:type="dxa"/>
            <w:tcBorders/>
            <w:shd w:fill="auto" w:val="clear"/>
          </w:tcPr>
          <w:p>
            <w:pPr>
              <w:pStyle w:val="Normal"/>
              <w:spacing w:lineRule="auto" w:line="240" w:before="0" w:after="0"/>
              <w:rPr>
                <w:rFonts w:ascii="Arial Narrow" w:hAnsi="Arial Narrow" w:cs="Calibri" w:cstheme="minorHAnsi"/>
                <w:sz w:val="20"/>
                <w:szCs w:val="20"/>
              </w:rPr>
            </w:pPr>
            <w:r>
              <w:rPr>
                <w:rFonts w:cs="Calibri" w:ascii="Arial" w:hAnsi="Arial" w:cstheme="minorHAnsi"/>
                <w:color w:val="auto"/>
                <w:sz w:val="24"/>
                <w:szCs w:val="24"/>
              </w:rPr>
              <w:t>5.</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t>inne informacje</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shd w:fill="auto" w:val="clear"/>
          </w:tcPr>
          <w:p>
            <w:pPr>
              <w:pStyle w:val="Normal"/>
              <w:spacing w:lineRule="auto" w:line="240" w:before="0" w:after="0"/>
              <w:rPr>
                <w:rFonts w:ascii="Arial Narrow" w:hAnsi="Arial Narrow" w:cs="Calibri" w:cstheme="minorHAnsi"/>
                <w:b/>
                <w:b/>
                <w:sz w:val="20"/>
                <w:szCs w:val="20"/>
              </w:rPr>
            </w:pPr>
            <w:r>
              <w:rPr>
                <w:rFonts w:cs="Calibri" w:ascii="Arial" w:hAnsi="Arial" w:cstheme="minorHAnsi"/>
                <w:b/>
                <w:color w:val="auto"/>
                <w:sz w:val="24"/>
                <w:szCs w:val="24"/>
              </w:rPr>
              <w:t>II.</w:t>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b/>
                <w:bCs/>
                <w:color w:val="auto"/>
                <w:sz w:val="24"/>
                <w:szCs w:val="24"/>
              </w:rPr>
              <w:t>Dodatkowe informacje i objaśnienia obejmują w szczególności:</w:t>
            </w:r>
          </w:p>
        </w:tc>
      </w:tr>
      <w:tr>
        <w:trPr/>
        <w:tc>
          <w:tcPr>
            <w:tcW w:w="532" w:type="dxa"/>
            <w:tcBorders/>
            <w:shd w:fill="auto" w:val="clear"/>
          </w:tcPr>
          <w:p>
            <w:pPr>
              <w:pStyle w:val="Normal"/>
              <w:spacing w:lineRule="auto" w:line="240" w:before="0" w:after="0"/>
              <w:rPr>
                <w:rFonts w:ascii="Arial Narrow" w:hAnsi="Arial Narrow" w:cs="Calibri" w:cstheme="minorHAnsi"/>
                <w:sz w:val="20"/>
                <w:szCs w:val="20"/>
              </w:rPr>
            </w:pPr>
            <w:r>
              <w:rPr>
                <w:rFonts w:cs="Calibri" w:ascii="Arial" w:hAnsi="Arial" w:cstheme="minorHAnsi"/>
                <w:color w:val="auto"/>
                <w:sz w:val="24"/>
                <w:szCs w:val="24"/>
              </w:rPr>
              <w:t>1.</w:t>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shd w:fill="auto" w:val="clear"/>
          </w:tcPr>
          <w:p>
            <w:pPr>
              <w:pStyle w:val="Normal"/>
              <w:spacing w:lineRule="auto" w:line="240" w:before="0" w:after="0"/>
              <w:rPr>
                <w:rFonts w:ascii="Arial Narrow" w:hAnsi="Arial Narrow" w:cs="Calibri" w:cstheme="minorHAnsi"/>
                <w:sz w:val="20"/>
                <w:szCs w:val="20"/>
              </w:rPr>
            </w:pPr>
            <w:r>
              <w:rPr>
                <w:rFonts w:cs="Calibri" w:ascii="Arial" w:hAnsi="Arial" w:cstheme="minorHAnsi"/>
                <w:color w:val="auto"/>
                <w:sz w:val="24"/>
                <w:szCs w:val="24"/>
              </w:rPr>
              <w:t>1.1</w:t>
            </w:r>
          </w:p>
        </w:tc>
        <w:tc>
          <w:tcPr>
            <w:tcW w:w="14819" w:type="dxa"/>
            <w:tcBorders/>
            <w:shd w:fill="auto" w:val="clear"/>
          </w:tcPr>
          <w:p>
            <w:pPr>
              <w:pStyle w:val="Normal"/>
              <w:widowControl w:val="false"/>
              <w:spacing w:lineRule="auto" w:line="249"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sz w:val="24"/>
                <w:szCs w:val="24"/>
              </w:rPr>
            </w:pPr>
            <w:r>
              <w:rPr>
                <w:rFonts w:ascii="Arial" w:hAnsi="Arial"/>
                <w:color w:val="auto"/>
                <w:sz w:val="24"/>
                <w:szCs w:val="24"/>
              </w:rPr>
              <w:drawing>
                <wp:inline distT="0" distB="7620" distL="0" distR="0">
                  <wp:extent cx="9320530" cy="3764280"/>
                  <wp:effectExtent l="0" t="0" r="0" b="0"/>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9320530" cy="3764280"/>
                          </a:xfrm>
                          <a:prstGeom prst="rect">
                            <a:avLst/>
                          </a:prstGeom>
                        </pic:spPr>
                      </pic:pic>
                    </a:graphicData>
                  </a:graphic>
                </wp:inline>
              </w:drawing>
            </w:r>
          </w:p>
        </w:tc>
      </w:tr>
      <w:tr>
        <w:trPr/>
        <w:tc>
          <w:tcPr>
            <w:tcW w:w="532" w:type="dxa"/>
            <w:tcBorders/>
            <w:shd w:fill="auto" w:val="clear"/>
          </w:tcPr>
          <w:p>
            <w:pPr>
              <w:pStyle w:val="Normal"/>
              <w:spacing w:lineRule="auto" w:line="240" w:before="0" w:after="0"/>
              <w:rPr>
                <w:rFonts w:ascii="Arial Narrow" w:hAnsi="Arial Narrow" w:cs="Calibri" w:cstheme="minorHAnsi"/>
                <w:sz w:val="16"/>
                <w:szCs w:val="16"/>
              </w:rPr>
            </w:pPr>
            <w:r>
              <w:rPr>
                <w:rFonts w:cs="Calibri" w:ascii="Arial" w:hAnsi="Arial" w:cstheme="minorHAnsi"/>
                <w:color w:val="auto"/>
                <w:sz w:val="24"/>
                <w:szCs w:val="24"/>
              </w:rPr>
              <w:t>1.2</w:t>
            </w:r>
          </w:p>
        </w:tc>
        <w:tc>
          <w:tcPr>
            <w:tcW w:w="14819" w:type="dxa"/>
            <w:tcBorders/>
            <w:shd w:fill="auto" w:val="clear"/>
          </w:tcPr>
          <w:p>
            <w:pPr>
              <w:pStyle w:val="Normal"/>
              <w:widowControl w:val="false"/>
              <w:spacing w:lineRule="auto" w:line="240" w:before="47" w:after="160"/>
              <w:ind w:right="-20" w:hanging="0"/>
              <w:rPr>
                <w:rFonts w:ascii="Arial Narrow" w:hAnsi="Arial Narrow"/>
                <w:sz w:val="16"/>
                <w:szCs w:val="16"/>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spacing w:lineRule="auto" w:line="240" w:before="0" w:after="0"/>
              <w:rPr>
                <w:rFonts w:ascii="Arial Narrow" w:hAnsi="Arial Narrow" w:cs="Calibri" w:cstheme="minorHAnsi"/>
                <w:sz w:val="20"/>
                <w:szCs w:val="20"/>
              </w:rPr>
            </w:pPr>
            <w:r>
              <w:rPr>
                <w:rFonts w:cs="Calibri" w:ascii="Arial" w:hAnsi="Arial" w:cstheme="minorHAnsi"/>
                <w:color w:val="auto"/>
                <w:sz w:val="24"/>
                <w:szCs w:val="24"/>
              </w:rPr>
              <w:t>1.3</w:t>
            </w:r>
          </w:p>
        </w:tc>
        <w:tc>
          <w:tcPr>
            <w:tcW w:w="14819" w:type="dxa"/>
            <w:tcBorders/>
            <w:shd w:fill="auto" w:val="clear"/>
          </w:tcPr>
          <w:p>
            <w:pPr>
              <w:pStyle w:val="Normal"/>
              <w:widowControl w:val="false"/>
              <w:spacing w:lineRule="auto" w:line="249" w:before="47" w:after="160"/>
              <w:ind w:right="40" w:hanging="0"/>
              <w:rPr>
                <w:rFonts w:ascii="Arial Narrow" w:hAnsi="Arial Narrow"/>
                <w:sz w:val="16"/>
                <w:szCs w:val="16"/>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spacing w:lineRule="auto" w:line="240" w:before="0" w:after="0"/>
              <w:rPr>
                <w:rFonts w:ascii="Arial Narrow" w:hAnsi="Arial Narrow" w:cs="Calibri" w:cstheme="minorHAnsi"/>
                <w:sz w:val="20"/>
                <w:szCs w:val="20"/>
              </w:rPr>
            </w:pPr>
            <w:r>
              <w:rPr>
                <w:rFonts w:cs="Calibri" w:ascii="Arial" w:hAnsi="Arial" w:cstheme="minorHAnsi"/>
                <w:color w:val="auto"/>
                <w:sz w:val="24"/>
                <w:szCs w:val="24"/>
              </w:rPr>
              <w:t>1.4</w:t>
            </w:r>
          </w:p>
        </w:tc>
        <w:tc>
          <w:tcPr>
            <w:tcW w:w="14819" w:type="dxa"/>
            <w:tcBorders/>
            <w:shd w:fill="auto" w:val="clear"/>
          </w:tcPr>
          <w:p>
            <w:pPr>
              <w:pStyle w:val="Normal"/>
              <w:spacing w:lineRule="auto" w:line="240" w:before="0" w:after="0"/>
              <w:rPr>
                <w:rFonts w:ascii="Arial Narrow" w:hAnsi="Arial Narrow"/>
                <w:b/>
                <w:b/>
                <w:sz w:val="16"/>
                <w:szCs w:val="16"/>
              </w:rPr>
            </w:pPr>
            <w:r>
              <w:rPr>
                <w:rFonts w:ascii="Arial" w:hAnsi="Arial"/>
                <w:color w:val="auto"/>
                <w:sz w:val="24"/>
                <w:szCs w:val="24"/>
              </w:rPr>
              <w:t>wartość gruntów użytkowanych wieczyście</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spacing w:lineRule="auto" w:line="240" w:before="0" w:after="0"/>
              <w:rPr>
                <w:rFonts w:ascii="Arial Narrow" w:hAnsi="Arial Narrow" w:cs="Calibri" w:cstheme="minorHAnsi"/>
                <w:sz w:val="20"/>
                <w:szCs w:val="20"/>
              </w:rPr>
            </w:pPr>
            <w:r>
              <w:rPr>
                <w:rFonts w:cs="Calibri" w:ascii="Arial" w:hAnsi="Arial" w:cstheme="minorHAnsi"/>
                <w:color w:val="auto"/>
                <w:sz w:val="24"/>
                <w:szCs w:val="24"/>
              </w:rPr>
              <w:t>1.5</w:t>
            </w:r>
          </w:p>
        </w:tc>
        <w:tc>
          <w:tcPr>
            <w:tcW w:w="14819" w:type="dxa"/>
            <w:tcBorders/>
            <w:shd w:fill="auto" w:val="clear"/>
          </w:tcPr>
          <w:p>
            <w:pPr>
              <w:pStyle w:val="Normal"/>
              <w:spacing w:lineRule="auto" w:line="240" w:before="0" w:after="0"/>
              <w:rPr>
                <w:rFonts w:ascii="Arial Narrow" w:hAnsi="Arial Narrow"/>
                <w:b/>
                <w:b/>
                <w:sz w:val="16"/>
                <w:szCs w:val="16"/>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7" w:after="160"/>
              <w:ind w:right="-20" w:hanging="0"/>
              <w:rPr>
                <w:rFonts w:ascii="Arial Narrow" w:hAnsi="Arial Narrow"/>
              </w:rPr>
            </w:pPr>
            <w:r>
              <w:rPr>
                <w:rFonts w:ascii="Arial" w:hAnsi="Arial"/>
                <w:color w:val="auto"/>
                <w:sz w:val="24"/>
                <w:szCs w:val="24"/>
              </w:rPr>
              <w:t>1.6.</w:t>
            </w:r>
          </w:p>
        </w:tc>
        <w:tc>
          <w:tcPr>
            <w:tcW w:w="14819" w:type="dxa"/>
            <w:tcBorders/>
            <w:shd w:fill="auto" w:val="clear"/>
          </w:tcPr>
          <w:p>
            <w:pPr>
              <w:pStyle w:val="Normal"/>
              <w:widowControl w:val="false"/>
              <w:spacing w:lineRule="auto" w:line="249" w:before="47" w:after="160"/>
              <w:ind w:right="40" w:hanging="0"/>
              <w:rPr>
                <w:rFonts w:ascii="Arial Narrow" w:hAnsi="Arial Narrow"/>
                <w:sz w:val="16"/>
                <w:szCs w:val="16"/>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6" w:after="160"/>
              <w:ind w:right="-20" w:hanging="0"/>
              <w:rPr>
                <w:rFonts w:ascii="Arial Narrow" w:hAnsi="Arial Narrow"/>
              </w:rPr>
            </w:pPr>
            <w:r>
              <w:rPr>
                <w:rFonts w:ascii="Arial" w:hAnsi="Arial"/>
                <w:color w:val="auto"/>
                <w:sz w:val="24"/>
                <w:szCs w:val="24"/>
              </w:rPr>
              <w:t>1.7.</w:t>
            </w:r>
          </w:p>
        </w:tc>
        <w:tc>
          <w:tcPr>
            <w:tcW w:w="14819" w:type="dxa"/>
            <w:tcBorders/>
            <w:shd w:fill="auto" w:val="clear"/>
          </w:tcPr>
          <w:p>
            <w:pPr>
              <w:pStyle w:val="Normal"/>
              <w:widowControl w:val="false"/>
              <w:spacing w:lineRule="auto" w:line="249" w:before="46" w:after="160"/>
              <w:ind w:right="40" w:hanging="0"/>
              <w:jc w:val="both"/>
              <w:rPr>
                <w:rFonts w:ascii="Arial Narrow" w:hAnsi="Arial Narrow"/>
                <w:color w:val="2E2014"/>
                <w:sz w:val="16"/>
                <w:szCs w:val="16"/>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shd w:fill="auto" w:val="clear"/>
          </w:tcPr>
          <w:p>
            <w:pPr>
              <w:pStyle w:val="Normal"/>
              <w:widowControl w:val="false"/>
              <w:spacing w:lineRule="auto" w:line="240" w:before="46" w:after="160"/>
              <w:ind w:right="-20" w:hanging="0"/>
              <w:rPr>
                <w:rFonts w:ascii="Arial Narrow" w:hAnsi="Arial Narrow"/>
              </w:rPr>
            </w:pPr>
            <w:r>
              <w:rPr>
                <w:rFonts w:ascii="Arial" w:hAnsi="Arial"/>
                <w:color w:val="auto"/>
                <w:sz w:val="24"/>
                <w:szCs w:val="24"/>
              </w:rPr>
              <w:t>1.8.</w:t>
            </w:r>
          </w:p>
        </w:tc>
        <w:tc>
          <w:tcPr>
            <w:tcW w:w="14819" w:type="dxa"/>
            <w:tcBorders/>
            <w:shd w:fill="auto" w:val="clear"/>
          </w:tcPr>
          <w:p>
            <w:pPr>
              <w:pStyle w:val="Normal"/>
              <w:widowControl w:val="false"/>
              <w:spacing w:lineRule="auto" w:line="249" w:before="46" w:after="160"/>
              <w:ind w:right="40" w:hanging="0"/>
              <w:rPr>
                <w:rFonts w:ascii="Arial Narrow" w:hAnsi="Arial Narrow"/>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6" w:after="160"/>
              <w:ind w:right="-20" w:hanging="0"/>
              <w:rPr>
                <w:rFonts w:ascii="Arial Narrow" w:hAnsi="Arial Narrow"/>
              </w:rPr>
            </w:pPr>
            <w:r>
              <w:rPr>
                <w:rFonts w:ascii="Arial" w:hAnsi="Arial"/>
                <w:color w:val="auto"/>
                <w:sz w:val="24"/>
                <w:szCs w:val="24"/>
              </w:rPr>
              <w:t>1.9.</w:t>
            </w:r>
          </w:p>
        </w:tc>
        <w:tc>
          <w:tcPr>
            <w:tcW w:w="14819" w:type="dxa"/>
            <w:tcBorders/>
            <w:shd w:fill="auto" w:val="clear"/>
          </w:tcPr>
          <w:p>
            <w:pPr>
              <w:pStyle w:val="Normal"/>
              <w:widowControl w:val="false"/>
              <w:spacing w:lineRule="auto" w:line="249" w:before="46" w:after="160"/>
              <w:ind w:right="40" w:hanging="0"/>
              <w:jc w:val="both"/>
              <w:rPr>
                <w:rFonts w:ascii="Arial Narrow" w:hAnsi="Arial Narrow"/>
                <w:sz w:val="16"/>
                <w:szCs w:val="16"/>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532" w:type="dxa"/>
            <w:tcBorders/>
            <w:shd w:fill="auto" w:val="clear"/>
          </w:tcPr>
          <w:p>
            <w:pPr>
              <w:pStyle w:val="Normal"/>
              <w:widowControl w:val="false"/>
              <w:spacing w:lineRule="auto" w:line="240" w:before="46" w:after="160"/>
              <w:ind w:right="-20" w:hanging="0"/>
              <w:rPr>
                <w:rFonts w:ascii="Arial Narrow" w:hAnsi="Arial Narrow"/>
              </w:rPr>
            </w:pPr>
            <w:r>
              <w:rPr>
                <w:rFonts w:ascii="Arial" w:hAnsi="Arial"/>
                <w:color w:val="auto"/>
                <w:sz w:val="24"/>
                <w:szCs w:val="24"/>
              </w:rPr>
              <w:t>a)</w:t>
            </w:r>
          </w:p>
        </w:tc>
        <w:tc>
          <w:tcPr>
            <w:tcW w:w="14819" w:type="dxa"/>
            <w:tcBorders/>
            <w:shd w:fill="auto" w:val="clear"/>
          </w:tcPr>
          <w:p>
            <w:pPr>
              <w:pStyle w:val="Normal"/>
              <w:widowControl w:val="false"/>
              <w:spacing w:lineRule="auto" w:line="240" w:before="46" w:after="160"/>
              <w:ind w:right="-20" w:hanging="0"/>
              <w:rPr>
                <w:rFonts w:ascii="Arial Narrow" w:hAnsi="Arial Narrow"/>
                <w:sz w:val="16"/>
                <w:szCs w:val="16"/>
              </w:rPr>
            </w:pPr>
            <w:r>
              <w:rPr>
                <w:rFonts w:ascii="Arial" w:hAnsi="Arial"/>
                <w:color w:val="auto"/>
                <w:sz w:val="24"/>
                <w:szCs w:val="24"/>
              </w:rPr>
              <w:t>powyżej 1 roku do 3 lat</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6" w:after="160"/>
              <w:ind w:right="-20" w:hanging="0"/>
              <w:rPr>
                <w:rFonts w:ascii="Arial Narrow" w:hAnsi="Arial Narrow"/>
              </w:rPr>
            </w:pPr>
            <w:r>
              <w:rPr>
                <w:rFonts w:ascii="Arial" w:hAnsi="Arial"/>
                <w:color w:val="auto"/>
                <w:sz w:val="24"/>
                <w:szCs w:val="24"/>
              </w:rPr>
              <w:t>b)</w:t>
            </w:r>
          </w:p>
        </w:tc>
        <w:tc>
          <w:tcPr>
            <w:tcW w:w="14819" w:type="dxa"/>
            <w:tcBorders/>
            <w:shd w:fill="auto" w:val="clear"/>
          </w:tcPr>
          <w:p>
            <w:pPr>
              <w:pStyle w:val="Normal"/>
              <w:widowControl w:val="false"/>
              <w:spacing w:lineRule="auto" w:line="240" w:before="46" w:after="160"/>
              <w:ind w:right="-20" w:hanging="0"/>
              <w:rPr>
                <w:rFonts w:ascii="Arial Narrow" w:hAnsi="Arial Narrow"/>
                <w:sz w:val="16"/>
                <w:szCs w:val="16"/>
              </w:rPr>
            </w:pPr>
            <w:r>
              <w:rPr>
                <w:rFonts w:ascii="Arial" w:hAnsi="Arial"/>
                <w:color w:val="auto"/>
                <w:sz w:val="24"/>
                <w:szCs w:val="24"/>
              </w:rPr>
              <w:t>powyżej 3 do 5 lat</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7" w:after="160"/>
              <w:ind w:right="-20" w:hanging="0"/>
              <w:rPr>
                <w:rFonts w:ascii="Arial Narrow" w:hAnsi="Arial Narrow"/>
              </w:rPr>
            </w:pPr>
            <w:r>
              <w:rPr>
                <w:rFonts w:ascii="Arial" w:hAnsi="Arial"/>
                <w:color w:val="auto"/>
                <w:sz w:val="24"/>
                <w:szCs w:val="24"/>
              </w:rPr>
              <w:t>c)</w:t>
            </w:r>
          </w:p>
        </w:tc>
        <w:tc>
          <w:tcPr>
            <w:tcW w:w="14819" w:type="dxa"/>
            <w:tcBorders/>
            <w:shd w:fill="auto" w:val="clear"/>
          </w:tcPr>
          <w:p>
            <w:pPr>
              <w:pStyle w:val="Normal"/>
              <w:widowControl w:val="false"/>
              <w:spacing w:lineRule="auto" w:line="240" w:before="47" w:after="160"/>
              <w:ind w:right="-20" w:hanging="0"/>
              <w:rPr>
                <w:rFonts w:ascii="Arial Narrow" w:hAnsi="Arial Narrow"/>
                <w:sz w:val="16"/>
                <w:szCs w:val="16"/>
              </w:rPr>
            </w:pPr>
            <w:r>
              <w:rPr>
                <w:rFonts w:ascii="Arial" w:hAnsi="Arial"/>
                <w:color w:val="auto"/>
                <w:sz w:val="24"/>
                <w:szCs w:val="24"/>
              </w:rPr>
              <w:t>powyżej 5 lat</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1.10</w:t>
            </w:r>
          </w:p>
        </w:tc>
        <w:tc>
          <w:tcPr>
            <w:tcW w:w="14819" w:type="dxa"/>
            <w:tcBorders/>
            <w:shd w:fill="auto" w:val="clear"/>
          </w:tcPr>
          <w:p>
            <w:pPr>
              <w:pStyle w:val="Normal"/>
              <w:widowControl w:val="false"/>
              <w:spacing w:lineRule="auto" w:line="249" w:before="47" w:after="160"/>
              <w:ind w:right="40" w:hanging="0"/>
              <w:jc w:val="both"/>
              <w:rPr>
                <w:rFonts w:ascii="Arial Narrow" w:hAnsi="Arial Narrow"/>
                <w:sz w:val="16"/>
                <w:szCs w:val="16"/>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1.11</w:t>
            </w:r>
          </w:p>
        </w:tc>
        <w:tc>
          <w:tcPr>
            <w:tcW w:w="14819" w:type="dxa"/>
            <w:tcBorders/>
            <w:shd w:fill="auto" w:val="clear"/>
          </w:tcPr>
          <w:p>
            <w:pPr>
              <w:pStyle w:val="Normal"/>
              <w:widowControl w:val="false"/>
              <w:spacing w:lineRule="auto" w:line="249" w:before="47" w:after="160"/>
              <w:ind w:right="40" w:hanging="0"/>
              <w:rPr>
                <w:rFonts w:ascii="Arial Narrow" w:hAnsi="Arial Narrow"/>
                <w:sz w:val="16"/>
                <w:szCs w:val="16"/>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1.12</w:t>
            </w:r>
          </w:p>
        </w:tc>
        <w:tc>
          <w:tcPr>
            <w:tcW w:w="14819" w:type="dxa"/>
            <w:tcBorders/>
            <w:shd w:fill="auto" w:val="clear"/>
          </w:tcPr>
          <w:p>
            <w:pPr>
              <w:pStyle w:val="Normal"/>
              <w:widowControl w:val="false"/>
              <w:spacing w:lineRule="auto" w:line="249" w:before="47" w:after="160"/>
              <w:ind w:right="40" w:hanging="0"/>
              <w:jc w:val="both"/>
              <w:rPr>
                <w:rFonts w:ascii="Arial Narrow" w:hAnsi="Arial Narrow"/>
                <w:sz w:val="16"/>
                <w:szCs w:val="16"/>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1.13</w:t>
            </w:r>
          </w:p>
        </w:tc>
        <w:tc>
          <w:tcPr>
            <w:tcW w:w="14819" w:type="dxa"/>
            <w:tcBorders/>
            <w:shd w:fill="auto" w:val="clear"/>
          </w:tcPr>
          <w:p>
            <w:pPr>
              <w:pStyle w:val="Normal"/>
              <w:widowControl w:val="false"/>
              <w:spacing w:lineRule="auto" w:line="249" w:before="47" w:after="160"/>
              <w:ind w:right="40" w:hanging="0"/>
              <w:jc w:val="both"/>
              <w:rPr>
                <w:rFonts w:ascii="Arial Narrow" w:hAnsi="Arial Narrow"/>
                <w:sz w:val="16"/>
                <w:szCs w:val="16"/>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1.14</w:t>
            </w:r>
          </w:p>
        </w:tc>
        <w:tc>
          <w:tcPr>
            <w:tcW w:w="14819" w:type="dxa"/>
            <w:tcBorders/>
            <w:shd w:fill="auto" w:val="clear"/>
          </w:tcPr>
          <w:p>
            <w:pPr>
              <w:pStyle w:val="Normal"/>
              <w:widowControl w:val="false"/>
              <w:spacing w:lineRule="auto" w:line="240" w:before="47" w:after="160"/>
              <w:ind w:right="-20" w:hanging="0"/>
              <w:rPr>
                <w:rFonts w:ascii="Arial Narrow" w:hAnsi="Arial Narrow"/>
                <w:sz w:val="16"/>
                <w:szCs w:val="16"/>
              </w:rPr>
            </w:pPr>
            <w:r>
              <w:rPr>
                <w:rFonts w:ascii="Arial" w:hAnsi="Arial"/>
                <w:color w:val="auto"/>
                <w:sz w:val="24"/>
                <w:szCs w:val="24"/>
              </w:rPr>
              <w:t>łączną kwotę otrzymanych przez jednostkę gwarancji i poręczeń niewykazanych w bilansie</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1.15</w:t>
            </w:r>
          </w:p>
        </w:tc>
        <w:tc>
          <w:tcPr>
            <w:tcW w:w="14819" w:type="dxa"/>
            <w:tcBorders/>
            <w:shd w:fill="auto" w:val="clear"/>
          </w:tcPr>
          <w:p>
            <w:pPr>
              <w:pStyle w:val="Normal"/>
              <w:widowControl w:val="false"/>
              <w:spacing w:lineRule="auto" w:line="240" w:before="47" w:after="160"/>
              <w:ind w:right="-20" w:hanging="0"/>
              <w:rPr>
                <w:rFonts w:ascii="Arial Narrow" w:hAnsi="Arial Narrow"/>
                <w:sz w:val="16"/>
                <w:szCs w:val="16"/>
              </w:rPr>
            </w:pPr>
            <w:r>
              <w:rPr>
                <w:rFonts w:ascii="Arial" w:hAnsi="Arial"/>
                <w:color w:val="auto"/>
                <w:sz w:val="24"/>
                <w:szCs w:val="24"/>
              </w:rPr>
              <w:t>kwotę wypłaconych środków pieniężnych na świadczenia pracownicze</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264 192,45 zł</w:t>
            </w:r>
          </w:p>
        </w:tc>
      </w:tr>
      <w:tr>
        <w:trPr/>
        <w:tc>
          <w:tcPr>
            <w:tcW w:w="532" w:type="dxa"/>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1.16</w:t>
            </w:r>
          </w:p>
        </w:tc>
        <w:tc>
          <w:tcPr>
            <w:tcW w:w="14819" w:type="dxa"/>
            <w:tcBorders/>
            <w:shd w:fill="auto" w:val="clear"/>
          </w:tcPr>
          <w:p>
            <w:pPr>
              <w:pStyle w:val="Normal"/>
              <w:widowControl w:val="false"/>
              <w:spacing w:lineRule="auto" w:line="240" w:before="47" w:after="160"/>
              <w:ind w:right="-20" w:hanging="0"/>
              <w:rPr>
                <w:rFonts w:ascii="Arial Narrow" w:hAnsi="Arial Narrow"/>
                <w:sz w:val="16"/>
                <w:szCs w:val="16"/>
              </w:rPr>
            </w:pPr>
            <w:r>
              <w:rPr>
                <w:rFonts w:ascii="Arial" w:hAnsi="Arial"/>
                <w:color w:val="auto"/>
                <w:sz w:val="24"/>
                <w:szCs w:val="24"/>
              </w:rPr>
              <w:t>inne informacje</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umorzenie pozostałych środków trwałych  - 1 714 584,69</w:t>
            </w:r>
          </w:p>
          <w:p>
            <w:pPr>
              <w:pStyle w:val="Normal"/>
              <w:spacing w:lineRule="auto" w:line="240" w:before="0" w:after="0"/>
              <w:rPr>
                <w:rFonts w:ascii="Arial Narrow" w:hAnsi="Arial Narrow"/>
                <w:b/>
                <w:b/>
              </w:rPr>
            </w:pPr>
            <w:r>
              <w:rPr>
                <w:rFonts w:ascii="Arial" w:hAnsi="Arial"/>
                <w:b/>
                <w:color w:val="auto"/>
                <w:sz w:val="24"/>
                <w:szCs w:val="24"/>
              </w:rPr>
              <w:t>umorzenie zbiorów bibliotecznych               -   122 037,26</w:t>
            </w:r>
          </w:p>
        </w:tc>
      </w:tr>
      <w:tr>
        <w:trPr>
          <w:trHeight w:val="133" w:hRule="atLeast"/>
        </w:trPr>
        <w:tc>
          <w:tcPr>
            <w:tcW w:w="532" w:type="dxa"/>
            <w:tcBorders/>
            <w:shd w:fill="auto" w:val="clear"/>
          </w:tcPr>
          <w:p>
            <w:pPr>
              <w:pStyle w:val="Normal"/>
              <w:spacing w:lineRule="auto" w:line="240" w:before="0" w:after="0"/>
              <w:rPr>
                <w:rFonts w:ascii="Arial Narrow" w:hAnsi="Arial Narrow" w:cs="Calibri" w:cstheme="minorHAnsi"/>
                <w:sz w:val="18"/>
                <w:szCs w:val="18"/>
              </w:rPr>
            </w:pPr>
            <w:r>
              <w:rPr>
                <w:rFonts w:cs="Calibri" w:ascii="Arial" w:hAnsi="Arial" w:cstheme="minorHAnsi"/>
                <w:color w:val="auto"/>
                <w:sz w:val="24"/>
                <w:szCs w:val="24"/>
              </w:rPr>
              <w:t>2.</w:t>
            </w:r>
          </w:p>
        </w:tc>
        <w:tc>
          <w:tcPr>
            <w:tcW w:w="1481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32" w:type="dxa"/>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2.1.</w:t>
            </w:r>
          </w:p>
        </w:tc>
        <w:tc>
          <w:tcPr>
            <w:tcW w:w="14819" w:type="dxa"/>
            <w:tcBorders/>
            <w:shd w:fill="auto" w:val="clear"/>
          </w:tcPr>
          <w:p>
            <w:pPr>
              <w:pStyle w:val="Normal"/>
              <w:widowControl w:val="false"/>
              <w:spacing w:lineRule="auto" w:line="240" w:before="47" w:after="160"/>
              <w:ind w:right="-20" w:hanging="0"/>
              <w:rPr>
                <w:rFonts w:ascii="Arial Narrow" w:hAnsi="Arial Narrow"/>
              </w:rPr>
            </w:pPr>
            <w:r>
              <w:rPr>
                <w:rFonts w:ascii="Arial" w:hAnsi="Arial"/>
                <w:color w:val="auto"/>
                <w:sz w:val="24"/>
                <w:szCs w:val="24"/>
              </w:rPr>
              <w:t>wysokość odpisów aktualizujących wartość zapasów</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2.2.</w:t>
            </w:r>
          </w:p>
        </w:tc>
        <w:tc>
          <w:tcPr>
            <w:tcW w:w="14819" w:type="dxa"/>
            <w:tcBorders/>
            <w:shd w:fill="auto" w:val="clear"/>
          </w:tcPr>
          <w:p>
            <w:pPr>
              <w:pStyle w:val="Normal"/>
              <w:widowControl w:val="false"/>
              <w:spacing w:lineRule="auto" w:line="249" w:before="47" w:after="160"/>
              <w:ind w:right="40" w:hanging="0"/>
              <w:rPr>
                <w:rFonts w:ascii="Arial Narrow" w:hAnsi="Arial Narrow"/>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7" w:after="160"/>
              <w:ind w:right="-20" w:hanging="0"/>
              <w:rPr>
                <w:rFonts w:ascii="Arial Narrow" w:hAnsi="Arial Narrow"/>
                <w:sz w:val="18"/>
                <w:szCs w:val="18"/>
              </w:rPr>
            </w:pPr>
            <w:r>
              <w:rPr>
                <w:rFonts w:ascii="Arial" w:hAnsi="Arial"/>
                <w:color w:val="auto"/>
                <w:sz w:val="24"/>
                <w:szCs w:val="24"/>
              </w:rPr>
              <w:t>2.3.</w:t>
            </w:r>
          </w:p>
        </w:tc>
        <w:tc>
          <w:tcPr>
            <w:tcW w:w="14819" w:type="dxa"/>
            <w:tcBorders/>
            <w:shd w:fill="auto" w:val="clear"/>
          </w:tcPr>
          <w:p>
            <w:pPr>
              <w:pStyle w:val="Normal"/>
              <w:widowControl w:val="false"/>
              <w:spacing w:lineRule="auto" w:line="249" w:before="47" w:after="160"/>
              <w:ind w:right="40" w:hanging="0"/>
              <w:rPr>
                <w:rFonts w:ascii="Arial Narrow" w:hAnsi="Arial Narrow"/>
                <w:sz w:val="16"/>
                <w:szCs w:val="16"/>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Fundusz Pomocy Ukrainie – 65 202,71</w:t>
            </w:r>
          </w:p>
        </w:tc>
      </w:tr>
      <w:tr>
        <w:trPr/>
        <w:tc>
          <w:tcPr>
            <w:tcW w:w="532" w:type="dxa"/>
            <w:tcBorders/>
            <w:shd w:fill="auto" w:val="clear"/>
          </w:tcPr>
          <w:p>
            <w:pPr>
              <w:pStyle w:val="Normal"/>
              <w:widowControl w:val="false"/>
              <w:spacing w:lineRule="auto" w:line="240" w:before="46" w:after="160"/>
              <w:ind w:right="-20" w:hanging="0"/>
              <w:rPr>
                <w:rFonts w:ascii="Arial Narrow" w:hAnsi="Arial Narrow"/>
                <w:sz w:val="18"/>
                <w:szCs w:val="18"/>
              </w:rPr>
            </w:pPr>
            <w:r>
              <w:rPr>
                <w:rFonts w:ascii="Arial" w:hAnsi="Arial"/>
                <w:color w:val="auto"/>
                <w:sz w:val="24"/>
                <w:szCs w:val="24"/>
              </w:rPr>
              <w:t>2.4.</w:t>
            </w:r>
          </w:p>
        </w:tc>
        <w:tc>
          <w:tcPr>
            <w:tcW w:w="14819" w:type="dxa"/>
            <w:tcBorders/>
            <w:shd w:fill="auto" w:val="clear"/>
          </w:tcPr>
          <w:p>
            <w:pPr>
              <w:pStyle w:val="Normal"/>
              <w:widowControl w:val="false"/>
              <w:spacing w:lineRule="auto" w:line="249" w:before="46" w:after="160"/>
              <w:ind w:right="40" w:hanging="0"/>
              <w:jc w:val="both"/>
              <w:rPr>
                <w:rFonts w:ascii="Arial Narrow" w:hAnsi="Arial Narrow"/>
                <w:sz w:val="16"/>
                <w:szCs w:val="16"/>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6" w:after="160"/>
              <w:ind w:right="-20" w:hanging="0"/>
              <w:rPr>
                <w:rFonts w:ascii="Arial Narrow" w:hAnsi="Arial Narrow"/>
                <w:sz w:val="18"/>
                <w:szCs w:val="18"/>
              </w:rPr>
            </w:pPr>
            <w:r>
              <w:rPr>
                <w:rFonts w:ascii="Arial" w:hAnsi="Arial"/>
                <w:color w:val="auto"/>
                <w:sz w:val="24"/>
                <w:szCs w:val="24"/>
              </w:rPr>
              <w:t>2.5.</w:t>
            </w:r>
          </w:p>
        </w:tc>
        <w:tc>
          <w:tcPr>
            <w:tcW w:w="14819" w:type="dxa"/>
            <w:tcBorders/>
            <w:shd w:fill="auto" w:val="clear"/>
          </w:tcPr>
          <w:p>
            <w:pPr>
              <w:pStyle w:val="Normal"/>
              <w:widowControl w:val="false"/>
              <w:spacing w:lineRule="auto" w:line="240" w:before="46" w:after="160"/>
              <w:ind w:right="-20" w:hanging="0"/>
              <w:rPr>
                <w:rFonts w:ascii="Arial Narrow" w:hAnsi="Arial Narrow"/>
                <w:sz w:val="16"/>
                <w:szCs w:val="16"/>
              </w:rPr>
            </w:pPr>
            <w:r>
              <w:rPr>
                <w:rFonts w:ascii="Arial" w:hAnsi="Arial"/>
                <w:color w:val="auto"/>
                <w:sz w:val="24"/>
                <w:szCs w:val="24"/>
              </w:rPr>
              <w:t>inne informacje</w:t>
            </w:r>
          </w:p>
        </w:tc>
      </w:tr>
      <w:tr>
        <w:trPr>
          <w:trHeight w:val="385" w:hRule="atLeast"/>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r>
        <w:trPr/>
        <w:tc>
          <w:tcPr>
            <w:tcW w:w="532" w:type="dxa"/>
            <w:tcBorders/>
            <w:shd w:fill="auto" w:val="clear"/>
          </w:tcPr>
          <w:p>
            <w:pPr>
              <w:pStyle w:val="Normal"/>
              <w:widowControl w:val="false"/>
              <w:spacing w:lineRule="auto" w:line="240" w:before="46" w:after="160"/>
              <w:ind w:right="-20" w:hanging="0"/>
              <w:rPr>
                <w:rFonts w:ascii="Arial Narrow" w:hAnsi="Arial Narrow"/>
                <w:sz w:val="18"/>
                <w:szCs w:val="18"/>
              </w:rPr>
            </w:pPr>
            <w:r>
              <w:rPr>
                <w:rFonts w:ascii="Arial" w:hAnsi="Arial"/>
                <w:color w:val="auto"/>
                <w:sz w:val="24"/>
                <w:szCs w:val="24"/>
              </w:rPr>
              <w:t>3.</w:t>
            </w:r>
          </w:p>
        </w:tc>
        <w:tc>
          <w:tcPr>
            <w:tcW w:w="14819" w:type="dxa"/>
            <w:tcBorders/>
            <w:shd w:fill="auto" w:val="clear"/>
          </w:tcPr>
          <w:p>
            <w:pPr>
              <w:pStyle w:val="Normal"/>
              <w:widowControl w:val="false"/>
              <w:spacing w:lineRule="auto" w:line="249" w:before="46" w:after="160"/>
              <w:ind w:right="40" w:hanging="0"/>
              <w:rPr>
                <w:rFonts w:ascii="Arial Narrow" w:hAnsi="Arial Narrow"/>
                <w:sz w:val="16"/>
                <w:szCs w:val="16"/>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rHeight w:val="165" w:hRule="atLeast"/>
        </w:trPr>
        <w:tc>
          <w:tcPr>
            <w:tcW w:w="532"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19"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nie dotyczy</w:t>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rFonts w:ascii="Arial Narrow" w:hAnsi="Arial Narrow"/>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rFonts w:ascii="Arial Narrow" w:hAnsi="Arial Narrow"/>
                <w:b/>
                <w:b/>
                <w:color w:val="2E2014"/>
                <w:sz w:val="16"/>
                <w:szCs w:val="16"/>
              </w:rPr>
            </w:pPr>
            <w:r>
              <w:rPr>
                <w:rFonts w:ascii="Arial" w:hAnsi="Arial"/>
                <w:b/>
                <w:color w:val="auto"/>
                <w:position w:val="0"/>
                <w:sz w:val="24"/>
                <w:szCs w:val="24"/>
              </w:rPr>
              <w:t>.……………………..</w:t>
            </w:r>
          </w:p>
          <w:p>
            <w:pPr>
              <w:pStyle w:val="Normal"/>
              <w:widowControl w:val="false"/>
              <w:spacing w:lineRule="exact" w:line="203" w:before="76" w:after="160"/>
              <w:ind w:right="-20" w:hanging="0"/>
              <w:rPr>
                <w:rFonts w:ascii="Arial Narrow" w:hAnsi="Arial Narrow"/>
                <w:sz w:val="16"/>
                <w:szCs w:val="16"/>
              </w:rPr>
            </w:pP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rFonts w:ascii="Arial Narrow" w:hAnsi="Arial Narrow"/>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rFonts w:ascii="Arial Narrow" w:hAnsi="Arial Narrow"/>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rFonts w:ascii="Arial Narrow" w:hAnsi="Arial Narrow"/>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rFonts w:ascii="Arial Narrow" w:hAnsi="Arial Narrow"/>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paragraph" w:styleId="Standard" w:customStyle="1">
    <w:name w:val="Standard"/>
    <w:qFormat/>
    <w:rsid w:val="0060379e"/>
    <w:pPr>
      <w:widowControl w:val="false"/>
      <w:suppressAutoHyphens w:val="true"/>
      <w:bidi w:val="0"/>
      <w:spacing w:lineRule="auto" w:line="240" w:before="0" w:after="0"/>
      <w:jc w:val="left"/>
      <w:textAlignment w:val="baseline"/>
    </w:pPr>
    <w:rPr>
      <w:rFonts w:ascii="Calibri" w:hAnsi="Calibri" w:eastAsia="Segoe UI" w:cs="Tahoma"/>
      <w:color w:val="000000"/>
      <w:kern w:val="2"/>
      <w:sz w:val="24"/>
      <w:szCs w:val="24"/>
      <w:lang w:val="en-US" w:bidi="en-US" w:eastAsia="en-U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46B25-CC89-4EE9-B6DC-BEF5DB49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Application>LibreOffice/6.2.3.2$Windows_x86 LibreOffice_project/aecc05fe267cc68dde00352a451aa867b3b546ac</Application>
  <Pages>10</Pages>
  <Words>3007</Words>
  <Characters>19956</Characters>
  <CharactersWithSpaces>22763</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2021-03-16T07:59:00Z</dcterms:created>
  <dc:creator>Marietta Ulatowska</dc:creator>
  <dc:description/>
  <cp:keywords>Informacja dodatkowa</cp:keywords>
  <dc:language>pl-PL</dc:language>
  <cp:lastModifiedBy/>
  <cp:lastPrinted>2025-03-19T11:58:00Z</cp:lastPrinted>
  <dcterms:modified xsi:type="dcterms:W3CDTF">2025-05-08T11:25:31Z</dcterms:modified>
  <cp:revision>47</cp:revision>
  <dc:subject/>
  <dc:title>ZSP 2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