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88" w:type="dxa"/>
        <w:jc w:val="left"/>
        <w:tblInd w:w="0" w:type="dxa"/>
        <w:tblCellMar>
          <w:top w:w="0" w:type="dxa"/>
          <w:left w:w="108" w:type="dxa"/>
          <w:bottom w:w="0" w:type="dxa"/>
          <w:right w:w="108" w:type="dxa"/>
        </w:tblCellMar>
        <w:tblLook w:firstRow="1" w:noVBand="1" w:lastRow="0" w:firstColumn="1" w:lastColumn="0" w:noHBand="0" w:val="04a0"/>
      </w:tblPr>
      <w:tblGrid>
        <w:gridCol w:w="561"/>
        <w:gridCol w:w="14826"/>
      </w:tblGrid>
      <w:tr>
        <w:trPr/>
        <w:tc>
          <w:tcPr>
            <w:tcW w:w="56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826"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Narrow" w:hAnsi="Arial Narrow"/>
                <w:b/>
                <w:b/>
              </w:rPr>
            </w:pPr>
            <w:r>
              <w:rPr>
                <w:rFonts w:ascii="Arial" w:hAnsi="Arial"/>
                <w:b/>
                <w:color w:val="auto"/>
                <w:sz w:val="24"/>
                <w:szCs w:val="24"/>
              </w:rPr>
              <w:t>Zespół Szkół Nr 11</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87-800 Włocławek ul. Papieżka 89</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b/>
                <w:b/>
                <w:sz w:val="24"/>
                <w:szCs w:val="24"/>
              </w:rPr>
            </w:pPr>
            <w:r>
              <w:rPr>
                <w:rFonts w:ascii="Arial" w:hAnsi="Arial"/>
                <w:b/>
                <w:color w:val="auto"/>
                <w:sz w:val="24"/>
                <w:szCs w:val="24"/>
              </w:rPr>
              <w:t>87-800 Włocławek ul. Papieżka 89</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26" w:type="dxa"/>
            <w:tcBorders/>
            <w:shd w:fill="auto" w:val="clear"/>
          </w:tcPr>
          <w:p>
            <w:pPr>
              <w:pStyle w:val="Normal"/>
              <w:spacing w:lineRule="auto" w:line="240" w:before="0" w:after="0"/>
              <w:rPr>
                <w:b/>
                <w:b/>
                <w:sz w:val="24"/>
                <w:szCs w:val="24"/>
              </w:rPr>
            </w:pPr>
            <w:r>
              <w:rPr>
                <w:rFonts w:ascii="Arial" w:hAnsi="Arial"/>
                <w:b/>
                <w:color w:val="auto"/>
                <w:sz w:val="24"/>
                <w:szCs w:val="24"/>
              </w:rPr>
              <w:t>Działalność edukacyjna zespołów szkół w zakresie przedszkoli i szkolnictwa podstawowego</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26" w:type="dxa"/>
            <w:tcBorders/>
            <w:shd w:fill="auto" w:val="clear"/>
          </w:tcPr>
          <w:p>
            <w:pPr>
              <w:pStyle w:val="Normal"/>
              <w:spacing w:lineRule="auto" w:line="240" w:before="0" w:after="0"/>
              <w:rPr>
                <w:rFonts w:ascii="Arial Narrow" w:hAnsi="Arial Narrow"/>
                <w:b/>
                <w:b/>
              </w:rPr>
            </w:pPr>
            <w:r>
              <w:rPr>
                <w:rFonts w:ascii="Arial" w:hAnsi="Arial"/>
                <w:b/>
                <w:color w:val="auto"/>
                <w:sz w:val="24"/>
                <w:szCs w:val="24"/>
              </w:rPr>
              <w:t>01 stycznia 2024 - 31 grudnia 2024</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826"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Zasady amortyzacji (umorzenia) środków trwałych i wartości niematerialnych i prawnych.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spacing w:lineRule="auto" w:line="240" w:before="0" w:after="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Rozliczenia z tytułu VAT.</w:t>
            </w:r>
          </w:p>
          <w:p>
            <w:pPr>
              <w:pStyle w:val="Normal"/>
              <w:numPr>
                <w:ilvl w:val="0"/>
                <w:numId w:val="17"/>
              </w:numPr>
              <w:spacing w:lineRule="auto" w:line="240" w:before="0" w:after="0"/>
              <w:rPr>
                <w:rFonts w:ascii="Arial" w:hAnsi="Arial"/>
                <w:color w:val="auto"/>
                <w:sz w:val="24"/>
                <w:szCs w:val="24"/>
              </w:rPr>
            </w:pPr>
            <w:r>
              <w:rPr>
                <w:rFonts w:eastAsia="Times New Roman" w:ascii="Arial" w:hAnsi="Arial"/>
                <w:color w:val="auto"/>
                <w:sz w:val="24"/>
                <w:szCs w:val="24"/>
              </w:rPr>
              <w:t xml:space="preserve">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 </w:t>
            </w:r>
          </w:p>
          <w:p>
            <w:pPr>
              <w:pStyle w:val="Normal"/>
              <w:numPr>
                <w:ilvl w:val="0"/>
                <w:numId w:val="0"/>
              </w:numPr>
              <w:spacing w:lineRule="auto" w:line="240" w:before="0" w:after="0"/>
              <w:ind w:left="720" w:hanging="0"/>
              <w:rPr>
                <w:rFonts w:ascii="Arial" w:hAnsi="Arial"/>
                <w:color w:val="auto"/>
                <w:sz w:val="24"/>
                <w:szCs w:val="24"/>
              </w:rPr>
            </w:pPr>
            <w:r>
              <w:rPr>
                <w:rFonts w:eastAsia="Times New Roman" w:ascii="Arial" w:hAnsi="Arial"/>
                <w:color w:val="auto"/>
                <w:sz w:val="24"/>
                <w:szCs w:val="24"/>
              </w:rPr>
              <w:t xml:space="preserve">W celu realizacji MPP (Mechanizm Podzielonej Płatności) wydzielono w księgach rachunkowych dodatkowe konta analityczne " VAT". </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jc w:val="both"/>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6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826"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2047" w:hRule="atLeast"/>
        </w:trPr>
        <w:tc>
          <w:tcPr>
            <w:tcW w:w="56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826"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56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826"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826" w:type="dxa"/>
            <w:tcBorders/>
            <w:shd w:fill="auto" w:val="clear"/>
          </w:tcPr>
          <w:p>
            <w:pPr>
              <w:pStyle w:val="Normal"/>
              <w:widowControl w:val="false"/>
              <w:spacing w:lineRule="auto" w:line="249" w:before="47" w:after="160"/>
              <w:ind w:right="40" w:hanging="0"/>
              <w:jc w:val="both"/>
              <w:rPr>
                <w:rFonts w:ascii="Arial Narrow" w:hAnsi="Arial Narrow"/>
                <w:color w:val="00000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r>
              <w:rPr>
                <w:rFonts w:ascii="Arial" w:hAnsi="Arial"/>
                <w:color w:val="auto"/>
                <w:sz w:val="24"/>
                <w:szCs w:val="24"/>
              </w:rPr>
              <w:t xml:space="preserve"> – podobne przedstawienie stanów i tytułów zmian dotychczasowej amortyzacji lub umorzenia</w:t>
            </w:r>
          </w:p>
        </w:tc>
      </w:tr>
      <w:tr>
        <w:trPr>
          <w:trHeight w:val="7787" w:hRule="atLeast"/>
        </w:trPr>
        <w:tc>
          <w:tcPr>
            <w:tcW w:w="56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shd w:fill="auto" w:val="clear"/>
          </w:tcPr>
          <w:tbl>
            <w:tblPr>
              <w:tblW w:w="14742" w:type="dxa"/>
              <w:jc w:val="left"/>
              <w:tblInd w:w="0" w:type="dxa"/>
              <w:tblCellMar>
                <w:top w:w="0" w:type="dxa"/>
                <w:left w:w="70" w:type="dxa"/>
                <w:bottom w:w="0" w:type="dxa"/>
                <w:right w:w="70" w:type="dxa"/>
              </w:tblCellMar>
              <w:tblLook w:firstRow="1" w:noVBand="1" w:lastRow="0" w:firstColumn="1" w:lastColumn="0" w:noHBand="0" w:val="04a0"/>
            </w:tblPr>
            <w:tblGrid>
              <w:gridCol w:w="316"/>
              <w:gridCol w:w="536"/>
              <w:gridCol w:w="314"/>
              <w:gridCol w:w="178"/>
              <w:gridCol w:w="271"/>
              <w:gridCol w:w="394"/>
              <w:gridCol w:w="147"/>
              <w:gridCol w:w="425"/>
              <w:gridCol w:w="1"/>
              <w:gridCol w:w="543"/>
              <w:gridCol w:w="127"/>
              <w:gridCol w:w="147"/>
              <w:gridCol w:w="277"/>
              <w:gridCol w:w="2"/>
              <w:gridCol w:w="277"/>
              <w:gridCol w:w="159"/>
              <w:gridCol w:w="270"/>
              <w:gridCol w:w="1"/>
              <w:gridCol w:w="136"/>
              <w:gridCol w:w="433"/>
              <w:gridCol w:w="566"/>
              <w:gridCol w:w="425"/>
              <w:gridCol w:w="3"/>
              <w:gridCol w:w="559"/>
              <w:gridCol w:w="1"/>
              <w:gridCol w:w="2"/>
              <w:gridCol w:w="157"/>
              <w:gridCol w:w="830"/>
              <w:gridCol w:w="3"/>
              <w:gridCol w:w="283"/>
              <w:gridCol w:w="159"/>
              <w:gridCol w:w="546"/>
              <w:gridCol w:w="3"/>
              <w:gridCol w:w="9"/>
              <w:gridCol w:w="451"/>
              <w:gridCol w:w="12"/>
              <w:gridCol w:w="838"/>
              <w:gridCol w:w="3"/>
              <w:gridCol w:w="9"/>
              <w:gridCol w:w="698"/>
              <w:gridCol w:w="2"/>
              <w:gridCol w:w="9"/>
              <w:gridCol w:w="838"/>
              <w:gridCol w:w="3"/>
              <w:gridCol w:w="8"/>
              <w:gridCol w:w="413"/>
              <w:gridCol w:w="3"/>
              <w:gridCol w:w="9"/>
              <w:gridCol w:w="684"/>
              <w:gridCol w:w="9"/>
              <w:gridCol w:w="287"/>
              <w:gridCol w:w="2"/>
              <w:gridCol w:w="1"/>
              <w:gridCol w:w="8"/>
              <w:gridCol w:w="980"/>
              <w:gridCol w:w="2"/>
              <w:gridCol w:w="8"/>
              <w:gridCol w:w="961"/>
            </w:tblGrid>
            <w:tr>
              <w:trPr>
                <w:trHeight w:val="297" w:hRule="atLeast"/>
              </w:trPr>
              <w:tc>
                <w:tcPr>
                  <w:tcW w:w="8500" w:type="dxa"/>
                  <w:gridSpan w:val="34"/>
                  <w:tcBorders/>
                  <w:shd w:color="auto" w:fill="auto" w:val="clear"/>
                  <w:vAlign w:val="center"/>
                </w:tcPr>
                <w:p>
                  <w:pPr>
                    <w:pStyle w:val="Normal"/>
                    <w:spacing w:lineRule="auto" w:line="240" w:before="0" w:after="0"/>
                    <w:rPr>
                      <w:rFonts w:ascii="Arial Narrow" w:hAnsi="Arial Narrow" w:eastAsia="Times New Roman" w:cs="Calibri"/>
                      <w:b/>
                      <w:b/>
                      <w:bCs/>
                      <w:color w:val="000000"/>
                      <w:sz w:val="24"/>
                      <w:szCs w:val="24"/>
                      <w:u w:val="single"/>
                      <w:lang w:eastAsia="pl-PL"/>
                    </w:rPr>
                  </w:pPr>
                  <w:r>
                    <w:rPr>
                      <w:rFonts w:eastAsia="Times New Roman" w:cs="Calibri" w:ascii="Arial" w:hAnsi="Arial"/>
                      <w:b/>
                      <w:bCs/>
                      <w:color w:val="auto"/>
                      <w:sz w:val="24"/>
                      <w:szCs w:val="24"/>
                      <w:u w:val="single"/>
                      <w:lang w:eastAsia="pl-PL"/>
                    </w:rPr>
                    <w:t xml:space="preserve">Główne składniki aktywów trwałych </w:t>
                  </w:r>
                </w:p>
              </w:tc>
              <w:tc>
                <w:tcPr>
                  <w:tcW w:w="463"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50"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709"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49"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425"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693"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98"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0"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297" w:hRule="atLeast"/>
              </w:trPr>
              <w:tc>
                <w:tcPr>
                  <w:tcW w:w="31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 </w:t>
                  </w:r>
                </w:p>
              </w:tc>
              <w:tc>
                <w:tcPr>
                  <w:tcW w:w="53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 </w:t>
                  </w:r>
                </w:p>
              </w:tc>
              <w:tc>
                <w:tcPr>
                  <w:tcW w:w="49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27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39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73"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4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27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556"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5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07"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43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554" w:type="dxa"/>
                  <w:gridSpan w:val="5"/>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5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116"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5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1862" w:type="dxa"/>
                  <w:gridSpan w:val="7"/>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709"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2"/>
                      <w:szCs w:val="12"/>
                      <w:lang w:eastAsia="pl-PL"/>
                    </w:rPr>
                  </w:pPr>
                  <w:r>
                    <w:rPr>
                      <w:rFonts w:eastAsia="Times New Roman" w:cs="Calibri" w:ascii="Arial" w:hAnsi="Arial"/>
                      <w:b/>
                      <w:bCs/>
                      <w:color w:val="auto"/>
                      <w:sz w:val="24"/>
                      <w:szCs w:val="24"/>
                      <w:lang w:eastAsia="pl-PL"/>
                    </w:rPr>
                    <w:t> </w:t>
                  </w:r>
                </w:p>
              </w:tc>
              <w:tc>
                <w:tcPr>
                  <w:tcW w:w="850"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 </w:t>
                  </w:r>
                </w:p>
              </w:tc>
              <w:tc>
                <w:tcPr>
                  <w:tcW w:w="424"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 </w:t>
                  </w:r>
                </w:p>
              </w:tc>
              <w:tc>
                <w:tcPr>
                  <w:tcW w:w="69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 </w:t>
                  </w:r>
                </w:p>
              </w:tc>
              <w:tc>
                <w:tcPr>
                  <w:tcW w:w="298"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1"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69"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10" w:hRule="atLeast"/>
              </w:trPr>
              <w:tc>
                <w:tcPr>
                  <w:tcW w:w="3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990"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poczatek roku obrotowego</w:t>
                  </w:r>
                </w:p>
              </w:tc>
              <w:tc>
                <w:tcPr>
                  <w:tcW w:w="1522" w:type="dxa"/>
                  <w:gridSpan w:val="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poczatkowej</w:t>
                  </w:r>
                </w:p>
              </w:tc>
              <w:tc>
                <w:tcPr>
                  <w:tcW w:w="707"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563" w:type="dxa"/>
                  <w:gridSpan w:val="5"/>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56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poczatkowej                                                                                                                              (8+9+10)</w:t>
                  </w:r>
                </w:p>
              </w:tc>
              <w:tc>
                <w:tcPr>
                  <w:tcW w:w="99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koniec roku obrotowego                                                                                                                                           (3+7-11)</w:t>
                  </w:r>
                </w:p>
              </w:tc>
              <w:tc>
                <w:tcPr>
                  <w:tcW w:w="991" w:type="dxa"/>
                  <w:gridSpan w:val="4"/>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2022" w:type="dxa"/>
                  <w:gridSpan w:val="8"/>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8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424" w:type="dxa"/>
                  <w:gridSpan w:val="3"/>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992"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1959" w:type="dxa"/>
                  <w:gridSpan w:val="5"/>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3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0"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0"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671"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424"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708"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70" w:type="dxa"/>
                  <w:gridSpan w:val="3"/>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56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425"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56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1"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63" w:type="dxa"/>
                  <w:gridSpan w:val="3"/>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850"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710" w:type="dxa"/>
                  <w:gridSpan w:val="3"/>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4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poczatek roku obrotowego                                                                                                                                                                           (3-13)</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42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570"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463"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710"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810"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1.</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Wartości niematerialne                          i prawne</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30 545,19</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30 545,19</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30 545,19</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30 545,19</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r>
            <w:tr>
              <w:trPr>
                <w:trHeight w:val="540"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2.</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Środki trwałe</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3 522 450,08</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3 522 450,08</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1 460 723,73</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75 266,32</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75 266,32</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1 535 990,05</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2 061 726,35</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1 986 460,03</w:t>
                  </w:r>
                </w:p>
              </w:tc>
            </w:tr>
            <w:tr>
              <w:trPr>
                <w:trHeight w:val="528"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grunty</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707 420,00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707 420,00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0,00 </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0,00 </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0,00 </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0,00 </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707 420,00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707 420,00</w:t>
                  </w:r>
                </w:p>
              </w:tc>
            </w:tr>
            <w:tr>
              <w:trPr>
                <w:trHeight w:val="765"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budynki, lokale i obiekty inżynierii lądowej i wodnej</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2 786 266,93</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2 786 266,93</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1 431 960,58</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75 266,32</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75 266,32</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1 507 226,90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1 354 306,35</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1 279 040,03</w:t>
                  </w:r>
                </w:p>
              </w:tc>
            </w:tr>
            <w:tr>
              <w:trPr>
                <w:trHeight w:val="765"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urządzenia techniczne i maszyny</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28 763,15</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28 763,15</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28 763,15</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28 763,15</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330"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środki transportu</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510"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 środki trwałe</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330" w:hRule="atLeast"/>
              </w:trPr>
              <w:tc>
                <w:tcPr>
                  <w:tcW w:w="31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8"/>
                      <w:szCs w:val="18"/>
                      <w:lang w:eastAsia="pl-PL"/>
                    </w:rPr>
                  </w:pPr>
                  <w:r>
                    <w:rPr>
                      <w:rFonts w:eastAsia="Times New Roman" w:cs="Calibri" w:ascii="Arial" w:hAnsi="Arial"/>
                      <w:b/>
                      <w:bCs/>
                      <w:i/>
                      <w:iCs/>
                      <w:color w:val="auto"/>
                      <w:sz w:val="24"/>
                      <w:szCs w:val="24"/>
                      <w:lang w:eastAsia="pl-PL"/>
                    </w:rPr>
                    <w:t> </w:t>
                  </w:r>
                </w:p>
              </w:tc>
              <w:tc>
                <w:tcPr>
                  <w:tcW w:w="850" w:type="dxa"/>
                  <w:gridSpan w:val="2"/>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8"/>
                      <w:szCs w:val="18"/>
                      <w:lang w:eastAsia="pl-PL"/>
                    </w:rPr>
                  </w:pPr>
                  <w:r>
                    <w:rPr>
                      <w:rFonts w:eastAsia="Times New Roman" w:cs="Calibri" w:ascii="Arial" w:hAnsi="Arial"/>
                      <w:color w:val="auto"/>
                      <w:sz w:val="24"/>
                      <w:szCs w:val="24"/>
                      <w:lang w:eastAsia="pl-PL"/>
                    </w:rPr>
                    <w:t> </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3 552 995,27</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6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7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7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0"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3 552 995,27</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1 491 268,92</w:t>
                  </w:r>
                </w:p>
              </w:tc>
              <w:tc>
                <w:tcPr>
                  <w:tcW w:w="46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5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75 266,32</w:t>
                  </w:r>
                </w:p>
              </w:tc>
              <w:tc>
                <w:tcPr>
                  <w:tcW w:w="710"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75 266,32</w:t>
                  </w:r>
                </w:p>
              </w:tc>
              <w:tc>
                <w:tcPr>
                  <w:tcW w:w="424"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1 566 535,24</w:t>
                  </w:r>
                </w:p>
              </w:tc>
              <w:tc>
                <w:tcPr>
                  <w:tcW w:w="991"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2 061 726,35</w:t>
                  </w:r>
                </w:p>
              </w:tc>
              <w:tc>
                <w:tcPr>
                  <w:tcW w:w="971"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1 986 460,03</w:t>
                  </w:r>
                </w:p>
              </w:tc>
            </w:tr>
          </w:tbl>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rHeight w:val="354" w:hRule="atLeast"/>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135 422,87 zł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Umorzenie pozostałych środków trwałych – 1 238 962,70 zł</w:t>
            </w:r>
          </w:p>
          <w:p>
            <w:pPr>
              <w:pStyle w:val="Normal"/>
              <w:spacing w:lineRule="auto" w:line="240" w:before="0" w:after="0"/>
              <w:rPr>
                <w:b/>
                <w:b/>
                <w:sz w:val="24"/>
                <w:szCs w:val="24"/>
              </w:rPr>
            </w:pPr>
            <w:r>
              <w:rPr>
                <w:rFonts w:ascii="Arial" w:hAnsi="Arial"/>
                <w:b/>
                <w:color w:val="auto"/>
                <w:sz w:val="24"/>
                <w:szCs w:val="24"/>
              </w:rPr>
              <w:t>Umorzenie zbiorów bibliotecznych              –    56 858,67 zł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wystąpiły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79 961,88 zł</w:t>
            </w:r>
            <w:bookmarkStart w:id="0" w:name="_GoBack"/>
            <w:bookmarkEnd w:id="0"/>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Nie wystąpiły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82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 xml:space="preserve">..........................................                </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 xml:space="preserve">      </w:t>
            </w: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 xml:space="preserve">    </w:t>
            </w: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567" w:right="567"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1174"/>
        </w:tabs>
        <w:ind w:left="1174" w:hanging="360"/>
      </w:pPr>
      <w:rPr>
        <w:rFonts w:ascii="Symbol" w:hAnsi="Symbol" w:cs="Symbol" w:hint="default"/>
        <w:rFonts w:cs="OpenSymbol"/>
      </w:rPr>
    </w:lvl>
    <w:lvl w:ilvl="1">
      <w:start w:val="1"/>
      <w:numFmt w:val="bullet"/>
      <w:lvlText w:val="◦"/>
      <w:lvlJc w:val="left"/>
      <w:pPr>
        <w:tabs>
          <w:tab w:val="num" w:pos="1534"/>
        </w:tabs>
        <w:ind w:left="1534" w:hanging="360"/>
      </w:pPr>
      <w:rPr>
        <w:rFonts w:ascii="OpenSymbol" w:hAnsi="OpenSymbol" w:cs="OpenSymbol" w:hint="default"/>
        <w:rFonts w:cs="OpenSymbol"/>
      </w:rPr>
    </w:lvl>
    <w:lvl w:ilvl="2">
      <w:start w:val="1"/>
      <w:numFmt w:val="bullet"/>
      <w:lvlText w:val="▪"/>
      <w:lvlJc w:val="left"/>
      <w:pPr>
        <w:tabs>
          <w:tab w:val="num" w:pos="1894"/>
        </w:tabs>
        <w:ind w:left="1894" w:hanging="360"/>
      </w:pPr>
      <w:rPr>
        <w:rFonts w:ascii="OpenSymbol" w:hAnsi="OpenSymbol" w:cs="OpenSymbol" w:hint="default"/>
        <w:rFonts w:cs="OpenSymbol"/>
      </w:rPr>
    </w:lvl>
    <w:lvl w:ilvl="3">
      <w:start w:val="1"/>
      <w:numFmt w:val="bullet"/>
      <w:lvlText w:val=""/>
      <w:lvlJc w:val="left"/>
      <w:pPr>
        <w:tabs>
          <w:tab w:val="num" w:pos="2254"/>
        </w:tabs>
        <w:ind w:left="2254" w:hanging="360"/>
      </w:pPr>
      <w:rPr>
        <w:rFonts w:ascii="Symbol" w:hAnsi="Symbol" w:cs="Symbol" w:hint="default"/>
        <w:rFonts w:cs="OpenSymbol"/>
      </w:rPr>
    </w:lvl>
    <w:lvl w:ilvl="4">
      <w:start w:val="1"/>
      <w:numFmt w:val="bullet"/>
      <w:lvlText w:val="◦"/>
      <w:lvlJc w:val="left"/>
      <w:pPr>
        <w:tabs>
          <w:tab w:val="num" w:pos="2614"/>
        </w:tabs>
        <w:ind w:left="2614" w:hanging="360"/>
      </w:pPr>
      <w:rPr>
        <w:rFonts w:ascii="OpenSymbol" w:hAnsi="OpenSymbol" w:cs="OpenSymbol" w:hint="default"/>
        <w:rFonts w:cs="OpenSymbol"/>
      </w:rPr>
    </w:lvl>
    <w:lvl w:ilvl="5">
      <w:start w:val="1"/>
      <w:numFmt w:val="bullet"/>
      <w:lvlText w:val="▪"/>
      <w:lvlJc w:val="left"/>
      <w:pPr>
        <w:tabs>
          <w:tab w:val="num" w:pos="2974"/>
        </w:tabs>
        <w:ind w:left="2974" w:hanging="360"/>
      </w:pPr>
      <w:rPr>
        <w:rFonts w:ascii="OpenSymbol" w:hAnsi="OpenSymbol" w:cs="OpenSymbol" w:hint="default"/>
        <w:rFonts w:cs="OpenSymbol"/>
      </w:rPr>
    </w:lvl>
    <w:lvl w:ilvl="6">
      <w:start w:val="1"/>
      <w:numFmt w:val="bullet"/>
      <w:lvlText w:val=""/>
      <w:lvlJc w:val="left"/>
      <w:pPr>
        <w:tabs>
          <w:tab w:val="num" w:pos="3334"/>
        </w:tabs>
        <w:ind w:left="3334" w:hanging="360"/>
      </w:pPr>
      <w:rPr>
        <w:rFonts w:ascii="Symbol" w:hAnsi="Symbol" w:cs="Symbol" w:hint="default"/>
        <w:rFonts w:cs="OpenSymbol"/>
      </w:rPr>
    </w:lvl>
    <w:lvl w:ilvl="7">
      <w:start w:val="1"/>
      <w:numFmt w:val="bullet"/>
      <w:lvlText w:val="◦"/>
      <w:lvlJc w:val="left"/>
      <w:pPr>
        <w:tabs>
          <w:tab w:val="num" w:pos="3694"/>
        </w:tabs>
        <w:ind w:left="3694" w:hanging="360"/>
      </w:pPr>
      <w:rPr>
        <w:rFonts w:ascii="OpenSymbol" w:hAnsi="OpenSymbol" w:cs="OpenSymbol" w:hint="default"/>
        <w:rFonts w:cs="OpenSymbol"/>
      </w:rPr>
    </w:lvl>
    <w:lvl w:ilvl="8">
      <w:start w:val="1"/>
      <w:numFmt w:val="bullet"/>
      <w:lvlText w:val="▪"/>
      <w:lvlJc w:val="left"/>
      <w:pPr>
        <w:tabs>
          <w:tab w:val="num" w:pos="4054"/>
        </w:tabs>
        <w:ind w:left="4054"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398F-2CA2-4EDD-9556-149975EE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Application>LibreOffice/6.2.3.2$Windows_x86 LibreOffice_project/aecc05fe267cc68dde00352a451aa867b3b546ac</Application>
  <Pages>11</Pages>
  <Words>3329</Words>
  <Characters>21461</Characters>
  <CharactersWithSpaces>25154</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2019-03-05T13:27:00Z</dcterms:created>
  <dc:creator>Marietta Ulatowska</dc:creator>
  <dc:description/>
  <cp:keywords>Informacja dodatkowa</cp:keywords>
  <dc:language>pl-PL</dc:language>
  <cp:lastModifiedBy/>
  <cp:lastPrinted>2025-02-13T11:06:00Z</cp:lastPrinted>
  <dcterms:modified xsi:type="dcterms:W3CDTF">2025-05-07T12:47:30Z</dcterms:modified>
  <cp:revision>174</cp:revision>
  <dc:subject/>
  <dc:title>ZS 11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