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956" w:firstLine="708"/>
        <w:rPr>
          <w:rFonts w:ascii="Arial" w:hAnsi="Arial"/>
          <w:color w:val="auto"/>
          <w:sz w:val="24"/>
          <w:szCs w:val="24"/>
        </w:rPr>
      </w:pPr>
      <w:r>
        <w:rPr>
          <w:rFonts w:ascii="Arial" w:hAnsi="Arial"/>
          <w:b/>
          <w:color w:val="auto"/>
          <w:sz w:val="24"/>
          <w:szCs w:val="24"/>
        </w:rPr>
        <w:t>INFORMACJA DODATKOWA</w:t>
      </w:r>
    </w:p>
    <w:tbl>
      <w:tblPr>
        <w:tblStyle w:val="Tabela-Siatka"/>
        <w:tblW w:w="15701" w:type="dxa"/>
        <w:jc w:val="left"/>
        <w:tblInd w:w="0" w:type="dxa"/>
        <w:tblCellMar>
          <w:top w:w="0" w:type="dxa"/>
          <w:left w:w="108" w:type="dxa"/>
          <w:bottom w:w="0" w:type="dxa"/>
          <w:right w:w="108" w:type="dxa"/>
        </w:tblCellMar>
        <w:tblLook w:val="04a0"/>
      </w:tblPr>
      <w:tblGrid>
        <w:gridCol w:w="599"/>
        <w:gridCol w:w="15101"/>
      </w:tblGrid>
      <w:tr>
        <w:trPr/>
        <w:tc>
          <w:tcPr>
            <w:tcW w:w="599" w:type="dxa"/>
            <w:tcBorders/>
            <w:shd w:fill="auto" w:val="clear"/>
          </w:tcPr>
          <w:p>
            <w:pPr>
              <w:pStyle w:val="Normal"/>
              <w:spacing w:lineRule="auto" w:line="240" w:before="0" w:after="0"/>
              <w:rPr>
                <w:b/>
                <w:b/>
                <w:sz w:val="20"/>
                <w:szCs w:val="20"/>
              </w:rPr>
            </w:pPr>
            <w:r>
              <w:rPr>
                <w:rFonts w:ascii="Arial" w:hAnsi="Arial"/>
                <w:b/>
                <w:color w:val="auto"/>
                <w:sz w:val="24"/>
                <w:szCs w:val="24"/>
              </w:rPr>
              <w:t>I.</w:t>
            </w:r>
          </w:p>
        </w:tc>
        <w:tc>
          <w:tcPr>
            <w:tcW w:w="15101" w:type="dxa"/>
            <w:tcBorders/>
            <w:shd w:fill="auto" w:val="clear"/>
          </w:tcPr>
          <w:p>
            <w:pPr>
              <w:pStyle w:val="Normal"/>
              <w:spacing w:lineRule="auto" w:line="240" w:before="0" w:after="0"/>
              <w:rPr>
                <w:b/>
                <w:b/>
                <w:sz w:val="24"/>
                <w:szCs w:val="24"/>
              </w:rPr>
            </w:pPr>
            <w:r>
              <w:rPr>
                <w:rFonts w:ascii="Arial" w:hAnsi="Arial"/>
                <w:b/>
                <w:bCs/>
                <w:color w:val="auto"/>
                <w:sz w:val="24"/>
                <w:szCs w:val="24"/>
              </w:rPr>
              <w:t>Wprowadzenie do sprawozdania finansowego, obejmuje w szczególności:</w:t>
            </w:r>
          </w:p>
        </w:tc>
      </w:tr>
      <w:tr>
        <w:trPr>
          <w:trHeight w:val="618"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1.</w:t>
            </w:r>
          </w:p>
        </w:tc>
        <w:tc>
          <w:tcPr>
            <w:tcW w:w="151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rHeight w:val="429"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1.1</w:t>
            </w:r>
          </w:p>
        </w:tc>
        <w:tc>
          <w:tcPr>
            <w:tcW w:w="15101" w:type="dxa"/>
            <w:tcBorders/>
            <w:shd w:fill="auto" w:val="clear"/>
          </w:tcPr>
          <w:p>
            <w:pPr>
              <w:pStyle w:val="Normal"/>
              <w:spacing w:lineRule="auto" w:line="240" w:before="0" w:after="0"/>
              <w:rPr>
                <w:b/>
                <w:b/>
                <w:sz w:val="24"/>
                <w:szCs w:val="24"/>
              </w:rPr>
            </w:pPr>
            <w:r>
              <w:rPr>
                <w:rFonts w:ascii="Arial" w:hAnsi="Arial"/>
                <w:color w:val="auto"/>
                <w:sz w:val="24"/>
                <w:szCs w:val="24"/>
              </w:rPr>
              <w:t>nazwę jednostki</w:t>
            </w:r>
          </w:p>
        </w:tc>
      </w:tr>
      <w:tr>
        <w:trPr>
          <w:trHeight w:val="690" w:hRule="atLeast"/>
        </w:trPr>
        <w:tc>
          <w:tcPr>
            <w:tcW w:w="59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5101"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p>
            <w:pPr>
              <w:pStyle w:val="Normal"/>
              <w:spacing w:lineRule="auto" w:line="240" w:before="0" w:after="0"/>
              <w:rPr>
                <w:rFonts w:cs="Calibri" w:cstheme="minorHAnsi"/>
              </w:rPr>
            </w:pPr>
            <w:r>
              <w:rPr>
                <w:rFonts w:cs="Calibri" w:ascii="Arial" w:hAnsi="Arial" w:cstheme="minorHAnsi"/>
                <w:color w:val="auto"/>
                <w:sz w:val="24"/>
                <w:szCs w:val="24"/>
              </w:rPr>
              <w:t>Szkoła Podstawowa nr  5 Integracyjna we Włocławku</w:t>
            </w:r>
          </w:p>
        </w:tc>
      </w:tr>
      <w:tr>
        <w:trPr>
          <w:trHeight w:val="558"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1.2</w:t>
            </w:r>
          </w:p>
        </w:tc>
        <w:tc>
          <w:tcPr>
            <w:tcW w:w="15101" w:type="dxa"/>
            <w:tcBorders/>
            <w:shd w:fill="auto" w:val="clear"/>
          </w:tcPr>
          <w:p>
            <w:pPr>
              <w:pStyle w:val="Normal"/>
              <w:spacing w:lineRule="auto" w:line="240" w:before="0" w:after="0"/>
              <w:rPr>
                <w:rFonts w:cs="Calibri" w:cstheme="minorHAnsi"/>
                <w:b/>
                <w:b/>
                <w:sz w:val="24"/>
                <w:szCs w:val="24"/>
              </w:rPr>
            </w:pPr>
            <w:r>
              <w:rPr>
                <w:rFonts w:cs="Calibri" w:ascii="Arial" w:hAnsi="Arial" w:cstheme="minorHAnsi"/>
                <w:color w:val="auto"/>
                <w:sz w:val="24"/>
                <w:szCs w:val="24"/>
              </w:rPr>
              <w:t>siedzibę jednostki</w:t>
            </w:r>
          </w:p>
        </w:tc>
      </w:tr>
      <w:tr>
        <w:trPr/>
        <w:tc>
          <w:tcPr>
            <w:tcW w:w="59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5101" w:type="dxa"/>
            <w:tcBorders/>
            <w:shd w:fill="auto" w:val="clear"/>
          </w:tcPr>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p>
            <w:pPr>
              <w:pStyle w:val="Normal"/>
              <w:spacing w:lineRule="auto" w:line="240" w:before="0" w:after="0"/>
              <w:rPr>
                <w:rFonts w:cs="Calibri" w:cstheme="minorHAnsi"/>
              </w:rPr>
            </w:pPr>
            <w:r>
              <w:rPr>
                <w:rFonts w:cs="Calibri" w:ascii="Arial" w:hAnsi="Arial" w:cstheme="minorHAnsi"/>
                <w:color w:val="auto"/>
                <w:sz w:val="24"/>
                <w:szCs w:val="24"/>
              </w:rPr>
              <w:t>Ul. Wieniecka  46   87-800 Włocławek</w:t>
            </w:r>
          </w:p>
        </w:tc>
      </w:tr>
      <w:tr>
        <w:trPr>
          <w:trHeight w:val="433"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1.3</w:t>
            </w:r>
          </w:p>
        </w:tc>
        <w:tc>
          <w:tcPr>
            <w:tcW w:w="15101" w:type="dxa"/>
            <w:tcBorders/>
            <w:shd w:fill="auto" w:val="clear"/>
          </w:tcPr>
          <w:p>
            <w:pPr>
              <w:pStyle w:val="Normal"/>
              <w:spacing w:lineRule="auto" w:line="240" w:before="0" w:after="0"/>
              <w:rPr>
                <w:rFonts w:cs="Calibri" w:cstheme="minorHAnsi"/>
                <w:b/>
                <w:b/>
                <w:sz w:val="24"/>
                <w:szCs w:val="24"/>
              </w:rPr>
            </w:pPr>
            <w:r>
              <w:rPr>
                <w:rFonts w:cs="Calibri" w:ascii="Arial" w:hAnsi="Arial" w:cstheme="minorHAnsi"/>
                <w:color w:val="auto"/>
                <w:sz w:val="24"/>
                <w:szCs w:val="24"/>
              </w:rPr>
              <w:t>adres jednostki</w:t>
            </w:r>
          </w:p>
        </w:tc>
      </w:tr>
      <w:tr>
        <w:trPr/>
        <w:tc>
          <w:tcPr>
            <w:tcW w:w="59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5101" w:type="dxa"/>
            <w:tcBorders/>
            <w:shd w:fill="auto" w:val="clear"/>
          </w:tcPr>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p>
            <w:pPr>
              <w:pStyle w:val="Normal"/>
              <w:spacing w:lineRule="auto" w:line="240" w:before="0" w:after="0"/>
              <w:rPr>
                <w:rFonts w:cs="Calibri" w:cstheme="minorHAnsi"/>
              </w:rPr>
            </w:pPr>
            <w:r>
              <w:rPr>
                <w:rFonts w:cs="Calibri" w:ascii="Arial" w:hAnsi="Arial" w:cstheme="minorHAnsi"/>
                <w:color w:val="auto"/>
                <w:sz w:val="24"/>
                <w:szCs w:val="24"/>
              </w:rPr>
              <w:t>Ul. Wieniecka  46  87-800 Włocławek</w:t>
            </w:r>
          </w:p>
        </w:tc>
      </w:tr>
      <w:tr>
        <w:trPr>
          <w:trHeight w:val="419"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1.4</w:t>
            </w:r>
          </w:p>
        </w:tc>
        <w:tc>
          <w:tcPr>
            <w:tcW w:w="15101" w:type="dxa"/>
            <w:tcBorders/>
            <w:shd w:fill="auto" w:val="clear"/>
          </w:tcPr>
          <w:p>
            <w:pPr>
              <w:pStyle w:val="Normal"/>
              <w:spacing w:lineRule="auto" w:line="240" w:before="0" w:after="0"/>
              <w:rPr>
                <w:rFonts w:cs="Calibri" w:cstheme="minorHAnsi"/>
                <w:b/>
                <w:b/>
                <w:sz w:val="24"/>
                <w:szCs w:val="24"/>
              </w:rPr>
            </w:pPr>
            <w:r>
              <w:rPr>
                <w:rFonts w:cs="Calibri" w:ascii="Arial" w:hAnsi="Arial" w:cstheme="minorHAnsi"/>
                <w:color w:val="auto"/>
                <w:sz w:val="24"/>
                <w:szCs w:val="24"/>
              </w:rPr>
              <w:t>podstawowy przedmiot działalności jednostki</w:t>
            </w:r>
          </w:p>
        </w:tc>
      </w:tr>
      <w:tr>
        <w:trPr/>
        <w:tc>
          <w:tcPr>
            <w:tcW w:w="599"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5101" w:type="dxa"/>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Podstawę prawną działalności Szkoły Podstawowej nr 5 Integracyjnej we Włocławku stanowi ustawa z dnia 14 grudnia 2016 r. Prawo</w:t>
            </w:r>
          </w:p>
          <w:p>
            <w:pPr>
              <w:pStyle w:val="Normal"/>
              <w:spacing w:lineRule="auto" w:line="240" w:before="0" w:after="0"/>
              <w:rPr>
                <w:rFonts w:cs="Calibri" w:cstheme="minorHAnsi"/>
                <w:b/>
                <w:b/>
              </w:rPr>
            </w:pPr>
            <w:r>
              <w:rPr>
                <w:rFonts w:cs="Calibri" w:ascii="Arial" w:hAnsi="Arial" w:cstheme="minorHAnsi"/>
                <w:color w:val="auto"/>
                <w:sz w:val="24"/>
                <w:szCs w:val="24"/>
              </w:rPr>
              <w:t>Oświatowe (tekst jednolity Dz. U. z 2017 r. poz. 59) oraz wydane do niej przepisy wykonawcze oraz Statut Szkoły Podstawowej nr 5.</w:t>
            </w:r>
          </w:p>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r>
        <w:trPr>
          <w:trHeight w:val="423"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2.</w:t>
            </w:r>
          </w:p>
        </w:tc>
        <w:tc>
          <w:tcPr>
            <w:tcW w:w="15101" w:type="dxa"/>
            <w:tcBorders/>
            <w:shd w:fill="auto" w:val="clear"/>
          </w:tcPr>
          <w:p>
            <w:pPr>
              <w:pStyle w:val="Normal"/>
              <w:spacing w:lineRule="auto" w:line="240" w:before="0" w:after="0"/>
              <w:rPr>
                <w:rFonts w:cs="Calibri" w:cstheme="minorHAnsi"/>
                <w:b/>
                <w:b/>
                <w:sz w:val="24"/>
                <w:szCs w:val="24"/>
              </w:rPr>
            </w:pPr>
            <w:r>
              <w:rPr>
                <w:rFonts w:cs="Calibri" w:ascii="Arial" w:hAnsi="Arial" w:cstheme="minorHAnsi"/>
                <w:color w:val="auto"/>
                <w:sz w:val="24"/>
                <w:szCs w:val="24"/>
              </w:rPr>
              <w:t>wskazanie okresu objętego sprawozdaniem</w:t>
            </w:r>
          </w:p>
        </w:tc>
      </w:tr>
      <w:tr>
        <w:trPr>
          <w:trHeight w:val="455" w:hRule="atLeast"/>
        </w:trPr>
        <w:tc>
          <w:tcPr>
            <w:tcW w:w="599"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5101" w:type="dxa"/>
            <w:tcBorders/>
            <w:shd w:fill="auto" w:val="clear"/>
          </w:tcPr>
          <w:p>
            <w:pPr>
              <w:pStyle w:val="Normal"/>
              <w:spacing w:lineRule="auto" w:line="240" w:before="0" w:after="0"/>
              <w:rPr>
                <w:rFonts w:cs="Calibri" w:cstheme="minorHAnsi"/>
              </w:rPr>
            </w:pPr>
            <w:bookmarkStart w:id="0" w:name="_GoBack"/>
            <w:r>
              <w:rPr>
                <w:rFonts w:cs="Calibri" w:ascii="Arial" w:hAnsi="Arial" w:cstheme="minorHAnsi"/>
                <w:color w:val="auto"/>
                <w:sz w:val="24"/>
                <w:szCs w:val="24"/>
              </w:rPr>
              <w:t>01 stycznia 2024 - 31 grudnia 20</w:t>
            </w:r>
            <w:bookmarkEnd w:id="0"/>
            <w:r>
              <w:rPr>
                <w:rFonts w:cs="Calibri" w:ascii="Arial" w:hAnsi="Arial" w:cstheme="minorHAnsi"/>
                <w:color w:val="auto"/>
                <w:sz w:val="24"/>
                <w:szCs w:val="24"/>
              </w:rPr>
              <w:t>24</w:t>
            </w:r>
          </w:p>
        </w:tc>
      </w:tr>
      <w:tr>
        <w:trPr>
          <w:trHeight w:val="379" w:hRule="atLeast"/>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3.</w:t>
            </w:r>
          </w:p>
        </w:tc>
        <w:tc>
          <w:tcPr>
            <w:tcW w:w="15101" w:type="dxa"/>
            <w:tcBorders/>
            <w:shd w:fill="auto" w:val="clear"/>
          </w:tcPr>
          <w:p>
            <w:pPr>
              <w:pStyle w:val="Normal"/>
              <w:spacing w:lineRule="auto" w:line="240" w:before="0" w:after="0"/>
              <w:rPr>
                <w:rFonts w:cs="Calibri" w:cstheme="minorHAnsi"/>
                <w:b/>
                <w:b/>
                <w:sz w:val="24"/>
                <w:szCs w:val="24"/>
              </w:rPr>
            </w:pPr>
            <w:r>
              <w:rPr>
                <w:rFonts w:cs="Calibri" w:ascii="Arial" w:hAnsi="Arial" w:cstheme="minorHAnsi"/>
                <w:color w:val="auto"/>
                <w:sz w:val="24"/>
                <w:szCs w:val="24"/>
              </w:rPr>
              <w:t>wskazanie,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że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sprawozdanie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finansowe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zawiera</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dane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łączne</w:t>
            </w:r>
          </w:p>
        </w:tc>
      </w:tr>
      <w:tr>
        <w:trPr/>
        <w:tc>
          <w:tcPr>
            <w:tcW w:w="599" w:type="dxa"/>
            <w:tcBorders/>
            <w:shd w:fill="auto" w:val="clear"/>
          </w:tcPr>
          <w:p>
            <w:pPr>
              <w:pStyle w:val="Normal"/>
              <w:spacing w:lineRule="auto" w:line="240" w:before="0" w:after="0"/>
              <w:rPr>
                <w:rFonts w:ascii="Arial" w:hAnsi="Arial"/>
                <w:color w:val="auto"/>
                <w:sz w:val="24"/>
                <w:szCs w:val="24"/>
              </w:rPr>
            </w:pPr>
            <w:r>
              <w:rPr>
                <w:rFonts w:ascii="Arial" w:hAnsi="Arial"/>
                <w:color w:val="auto"/>
                <w:sz w:val="24"/>
                <w:szCs w:val="24"/>
              </w:rPr>
            </w:r>
          </w:p>
        </w:tc>
        <w:tc>
          <w:tcPr>
            <w:tcW w:w="151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99" w:type="dxa"/>
            <w:tcBorders/>
            <w:shd w:fill="auto" w:val="clear"/>
          </w:tcPr>
          <w:p>
            <w:pPr>
              <w:pStyle w:val="Normal"/>
              <w:spacing w:lineRule="auto" w:line="240" w:before="0" w:after="0"/>
              <w:rPr>
                <w:sz w:val="20"/>
                <w:szCs w:val="20"/>
              </w:rPr>
            </w:pPr>
            <w:r>
              <w:rPr>
                <w:rFonts w:ascii="Arial" w:hAnsi="Arial"/>
                <w:color w:val="auto"/>
                <w:sz w:val="24"/>
                <w:szCs w:val="24"/>
              </w:rPr>
              <w:t>4.</w:t>
            </w:r>
          </w:p>
        </w:tc>
        <w:tc>
          <w:tcPr>
            <w:tcW w:w="15101" w:type="dxa"/>
            <w:tcBorders/>
            <w:shd w:fill="auto" w:val="clear"/>
          </w:tcPr>
          <w:p>
            <w:pPr>
              <w:pStyle w:val="Normal"/>
              <w:spacing w:lineRule="auto" w:line="240" w:before="0" w:after="0"/>
              <w:rPr>
                <w:b/>
                <w:b/>
                <w:sz w:val="24"/>
                <w:szCs w:val="24"/>
              </w:rPr>
            </w:pPr>
            <w:r>
              <w:rPr>
                <w:rFonts w:ascii="Arial" w:hAnsi="Arial"/>
                <w:color w:val="auto"/>
                <w:sz w:val="24"/>
                <w:szCs w:val="24"/>
              </w:rPr>
              <w:t>omówienie</w:t>
            </w:r>
            <w:r>
              <w:rPr>
                <w:rFonts w:ascii="Arial" w:hAnsi="Arial"/>
                <w:color w:val="auto"/>
                <w:spacing w:val="47"/>
                <w:sz w:val="24"/>
                <w:szCs w:val="24"/>
              </w:rPr>
              <w:t xml:space="preserve"> </w:t>
            </w:r>
            <w:r>
              <w:rPr>
                <w:rFonts w:ascii="Arial" w:hAnsi="Arial"/>
                <w:color w:val="auto"/>
                <w:sz w:val="24"/>
                <w:szCs w:val="24"/>
              </w:rPr>
              <w:t>przyjętych</w:t>
            </w:r>
            <w:r>
              <w:rPr>
                <w:rFonts w:ascii="Arial" w:hAnsi="Arial"/>
                <w:color w:val="auto"/>
                <w:spacing w:val="47"/>
                <w:sz w:val="24"/>
                <w:szCs w:val="24"/>
              </w:rPr>
              <w:t xml:space="preserve"> </w:t>
            </w:r>
            <w:r>
              <w:rPr>
                <w:rFonts w:ascii="Arial" w:hAnsi="Arial"/>
                <w:color w:val="auto"/>
                <w:sz w:val="24"/>
                <w:szCs w:val="24"/>
              </w:rPr>
              <w:t>zasad</w:t>
            </w:r>
            <w:r>
              <w:rPr>
                <w:rFonts w:ascii="Arial" w:hAnsi="Arial"/>
                <w:color w:val="auto"/>
                <w:spacing w:val="47"/>
                <w:sz w:val="24"/>
                <w:szCs w:val="24"/>
              </w:rPr>
              <w:t xml:space="preserve"> </w:t>
            </w:r>
            <w:r>
              <w:rPr>
                <w:rFonts w:ascii="Arial" w:hAnsi="Arial"/>
                <w:color w:val="auto"/>
                <w:sz w:val="24"/>
                <w:szCs w:val="24"/>
              </w:rPr>
              <w:t>(polityki)</w:t>
            </w:r>
            <w:r>
              <w:rPr>
                <w:rFonts w:ascii="Arial" w:hAnsi="Arial"/>
                <w:color w:val="auto"/>
                <w:spacing w:val="47"/>
                <w:sz w:val="24"/>
                <w:szCs w:val="24"/>
              </w:rPr>
              <w:t xml:space="preserve"> </w:t>
            </w:r>
            <w:r>
              <w:rPr>
                <w:rFonts w:ascii="Arial" w:hAnsi="Arial"/>
                <w:color w:val="auto"/>
                <w:sz w:val="24"/>
                <w:szCs w:val="24"/>
              </w:rPr>
              <w:t>rachunkowości,</w:t>
            </w:r>
            <w:r>
              <w:rPr>
                <w:rFonts w:ascii="Arial" w:hAnsi="Arial"/>
                <w:color w:val="auto"/>
                <w:spacing w:val="47"/>
                <w:sz w:val="24"/>
                <w:szCs w:val="24"/>
              </w:rPr>
              <w:t xml:space="preserve"> </w:t>
            </w:r>
            <w:r>
              <w:rPr>
                <w:rFonts w:ascii="Arial" w:hAnsi="Arial"/>
                <w:color w:val="auto"/>
                <w:sz w:val="24"/>
                <w:szCs w:val="24"/>
              </w:rPr>
              <w:t>w</w:t>
            </w:r>
            <w:r>
              <w:rPr>
                <w:rFonts w:ascii="Arial" w:hAnsi="Arial"/>
                <w:color w:val="auto"/>
                <w:spacing w:val="47"/>
                <w:sz w:val="24"/>
                <w:szCs w:val="24"/>
              </w:rPr>
              <w:t xml:space="preserve"> </w:t>
            </w:r>
            <w:r>
              <w:rPr>
                <w:rFonts w:ascii="Arial" w:hAnsi="Arial"/>
                <w:color w:val="auto"/>
                <w:sz w:val="24"/>
                <w:szCs w:val="24"/>
              </w:rPr>
              <w:t>tym</w:t>
            </w:r>
            <w:r>
              <w:rPr>
                <w:rFonts w:ascii="Arial" w:hAnsi="Arial"/>
                <w:color w:val="auto"/>
                <w:spacing w:val="47"/>
                <w:sz w:val="24"/>
                <w:szCs w:val="24"/>
              </w:rPr>
              <w:t xml:space="preserve"> </w:t>
            </w:r>
            <w:r>
              <w:rPr>
                <w:rFonts w:ascii="Arial" w:hAnsi="Arial"/>
                <w:color w:val="auto"/>
                <w:sz w:val="24"/>
                <w:szCs w:val="24"/>
              </w:rPr>
              <w:t>metod</w:t>
            </w:r>
            <w:r>
              <w:rPr>
                <w:rFonts w:ascii="Arial" w:hAnsi="Arial"/>
                <w:color w:val="auto"/>
                <w:spacing w:val="47"/>
                <w:sz w:val="24"/>
                <w:szCs w:val="24"/>
              </w:rPr>
              <w:t xml:space="preserve"> </w:t>
            </w:r>
            <w:r>
              <w:rPr>
                <w:rFonts w:ascii="Arial" w:hAnsi="Arial"/>
                <w:color w:val="auto"/>
                <w:sz w:val="24"/>
                <w:szCs w:val="24"/>
              </w:rPr>
              <w:t>wyceny</w:t>
            </w:r>
            <w:r>
              <w:rPr>
                <w:rFonts w:ascii="Arial" w:hAnsi="Arial"/>
                <w:color w:val="auto"/>
                <w:spacing w:val="47"/>
                <w:sz w:val="24"/>
                <w:szCs w:val="24"/>
              </w:rPr>
              <w:t xml:space="preserve"> </w:t>
            </w:r>
            <w:r>
              <w:rPr>
                <w:rFonts w:ascii="Arial" w:hAnsi="Arial"/>
                <w:color w:val="auto"/>
                <w:sz w:val="24"/>
                <w:szCs w:val="24"/>
              </w:rPr>
              <w:t>aktywów</w:t>
            </w:r>
            <w:r>
              <w:rPr>
                <w:rFonts w:ascii="Arial" w:hAnsi="Arial"/>
                <w:color w:val="auto"/>
                <w:spacing w:val="47"/>
                <w:sz w:val="24"/>
                <w:szCs w:val="24"/>
              </w:rPr>
              <w:t xml:space="preserve"> </w:t>
            </w:r>
            <w:r>
              <w:rPr>
                <w:rFonts w:ascii="Arial" w:hAnsi="Arial"/>
                <w:color w:val="auto"/>
                <w:sz w:val="24"/>
                <w:szCs w:val="24"/>
              </w:rPr>
              <w:t>i</w:t>
            </w:r>
            <w:r>
              <w:rPr>
                <w:rFonts w:ascii="Arial" w:hAnsi="Arial"/>
                <w:color w:val="auto"/>
                <w:spacing w:val="47"/>
                <w:sz w:val="24"/>
                <w:szCs w:val="24"/>
              </w:rPr>
              <w:t xml:space="preserve"> </w:t>
            </w:r>
            <w:r>
              <w:rPr>
                <w:rFonts w:ascii="Arial" w:hAnsi="Arial"/>
                <w:color w:val="auto"/>
                <w:sz w:val="24"/>
                <w:szCs w:val="24"/>
              </w:rPr>
              <w:t>pasywów</w:t>
            </w:r>
            <w:r>
              <w:rPr>
                <w:rFonts w:ascii="Arial" w:hAnsi="Arial"/>
                <w:color w:val="auto"/>
                <w:spacing w:val="47"/>
                <w:sz w:val="24"/>
                <w:szCs w:val="24"/>
              </w:rPr>
              <w:t xml:space="preserve"> </w:t>
            </w:r>
            <w:r>
              <w:rPr>
                <w:rFonts w:ascii="Arial" w:hAnsi="Arial"/>
                <w:color w:val="auto"/>
                <w:sz w:val="24"/>
                <w:szCs w:val="24"/>
              </w:rPr>
              <w:t>(także amortyzacji)</w:t>
            </w:r>
          </w:p>
        </w:tc>
      </w:tr>
      <w:tr>
        <w:trPr>
          <w:trHeight w:val="3395" w:hRule="atLeast"/>
        </w:trPr>
        <w:tc>
          <w:tcPr>
            <w:tcW w:w="599"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c>
          <w:tcPr>
            <w:tcW w:w="15101" w:type="dxa"/>
            <w:tcBorders/>
            <w:shd w:fill="auto" w:val="clear"/>
          </w:tcPr>
          <w:p>
            <w:pPr>
              <w:pStyle w:val="Normal"/>
              <w:numPr>
                <w:ilvl w:val="0"/>
                <w:numId w:val="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Aktywa i pasywa wyceniane są przy uwzględnieniu nadrzędnych zasad rachunkowości, w sposób przewidziany ustawą o rachunkowości, z uwzględnieniem przepisów ustawy o finansach publicznych i rozporządzenia MF w sprawie rachunkowości oraz planów kont dla budżetu państwa, budżetów jednostek samorządu terytorialnego. Przyjęto następujące ustalenia:</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oraz wartości niematerialne i prawne wycenia się według cen nabycia, kosztów wytworzenia lub wartości przeszacowanej (po aktualizacji wyceny środków trwałych), pomniejszonych o odpisy umorzeniowe. Środki trwałe stanowiące własność jednostki otrzymane nieodpłatnie, na podstawie decyzji właściwego organu, wycenia się w wartości określonej w tej decyzji.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Środki trwałe w budowie wycenia się w wysokości ogółu kosztów pozostających w bezpośrednim związku z ich wytworzeniem.</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Inwestycje krótkoterminowe wycenia się według ceny (wartości) rynkowej albo według ceny nabycia lub ceny (wartości) rynkowej, zależnie od tego, która z nich jest niższa, albo według skorygowanej ceny nabycia – jeżeli dla danego składnika aktywów został określony termin wymagalności, a krótkoterminowe inwestycje, dla których nie istnieje aktywny rynek, w inny sposób określonej godziwej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Rzeczowe składniki aktywów obrotowych wycenia się według cen nabycia lub kosztów wytworzenia nie wyższych od cen sprzedaży netto na dzień bilansowy.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Należności wycenia się w kwocie wymagalnej zapłaty z zachowaniem zasady ostrożności.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Zobowiązania wycenia się w kwocie wymagającej zapłaty.</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Rezerwy wycenia się w uzasadnionej, wiarygodnie oszacowanej wartości.</w:t>
            </w:r>
          </w:p>
          <w:p>
            <w:pPr>
              <w:pStyle w:val="Normal"/>
              <w:numPr>
                <w:ilvl w:val="0"/>
                <w:numId w:val="4"/>
              </w:numPr>
              <w:spacing w:lineRule="auto" w:line="240" w:before="0" w:after="0"/>
              <w:jc w:val="both"/>
              <w:rPr>
                <w:rFonts w:ascii="Arial" w:hAnsi="Arial"/>
                <w:color w:val="auto"/>
                <w:sz w:val="24"/>
                <w:szCs w:val="24"/>
              </w:rPr>
            </w:pPr>
            <w:r>
              <w:rPr>
                <w:rFonts w:cs="Calibri" w:ascii="Arial" w:hAnsi="Arial" w:cstheme="minorHAnsi"/>
                <w:color w:val="auto"/>
                <w:sz w:val="24"/>
                <w:szCs w:val="24"/>
              </w:rPr>
              <w:t>Kapitały (fundusze) własne oraz pozostałe aktywa i pasywa wycenia się w wartości nominalnej. Trwała utrata wartości zachodzi wtedy, gdy istnieje duże prawdopodobieństwo, że kontrolowany przez jednostkę składnik aktywów nie przyniesie w przyszłości w znaczącej części lub w całości przewidywanych korzyści. Uzasadnia to dokonanie odpisu aktualizującego doprowadzającego wartość składnika aktywów, wynikającą z ksiąg rachunkowych do ceny sprzedaży netto a w przypadku jej braku – do ustalonej w inny sposób wartości godziwej.</w:t>
            </w:r>
          </w:p>
          <w:p>
            <w:pPr>
              <w:pStyle w:val="Normal"/>
              <w:numPr>
                <w:ilvl w:val="0"/>
                <w:numId w:val="0"/>
              </w:numPr>
              <w:spacing w:lineRule="auto" w:line="240" w:before="0" w:after="0"/>
              <w:ind w:left="720" w:hanging="0"/>
              <w:jc w:val="both"/>
              <w:rPr>
                <w:rFonts w:cs="Calibri" w:cstheme="minorHAnsi"/>
              </w:rPr>
            </w:pPr>
            <w:r>
              <w:rPr>
                <w:rFonts w:cs="Calibri" w:ascii="Arial" w:hAnsi="Arial" w:cstheme="minorHAnsi"/>
                <w:color w:val="auto"/>
                <w:sz w:val="24"/>
                <w:szCs w:val="24"/>
              </w:rPr>
              <w:t xml:space="preserve">Wynik finansowy ustalany jest zgodnie z wariantem porównawczym rachunku zysków i strat na koncie 860 „Wynik finansowy”. W końcu roku obrotowego ujmuje się sumę poniesionych kosztów, wartość osiągniętych przychodów, otrzymane dotacje oraz pokrycie kosztów amortyzacji.  </w:t>
            </w:r>
          </w:p>
          <w:p>
            <w:pPr>
              <w:pStyle w:val="Normal"/>
              <w:numPr>
                <w:ilvl w:val="0"/>
                <w:numId w:val="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Zasady amortyzacji (umorzenia) środków trwałych i wartości niematerialnych i prawnych.</w:t>
            </w:r>
          </w:p>
          <w:p>
            <w:pPr>
              <w:pStyle w:val="Normal"/>
              <w:numPr>
                <w:ilvl w:val="0"/>
                <w:numId w:val="0"/>
              </w:numPr>
              <w:spacing w:lineRule="auto" w:line="240" w:before="0" w:after="0"/>
              <w:ind w:left="720" w:hanging="0"/>
              <w:jc w:val="both"/>
              <w:rPr>
                <w:rFonts w:eastAsia="Times New Roman" w:cs="Calibri" w:cstheme="minorHAnsi"/>
                <w:lang w:eastAsia="pl-PL"/>
              </w:rPr>
            </w:pPr>
            <w:r>
              <w:rPr>
                <w:rFonts w:eastAsia="Times New Roman" w:cs="Calibri" w:ascii="Arial" w:hAnsi="Arial" w:cstheme="minorHAnsi"/>
                <w:color w:val="auto"/>
                <w:sz w:val="24"/>
                <w:szCs w:val="24"/>
                <w:lang w:eastAsia="pl-PL"/>
              </w:rPr>
              <w:t>Przedmioty o niskiej wartości o przewidywanym okresie używania dłuższym niż rok o wartości jednostkowej poniżej 300 zł odpisuje się w koszty pod datą przekazania do używania w pełnej wartości początkowej, jako zużycie materiałów lub towarów. Kontrolę i ewidencję tych przedmiotów prowadzi się poza księgowo w sposób umożliwiający identyfikację każdego przedmiotu oraz miejsc ich użytkowania (ewidencja prowadzona jest w jednostkach obsługiwanych).</w:t>
            </w:r>
          </w:p>
          <w:p>
            <w:pPr>
              <w:pStyle w:val="Normal"/>
              <w:numPr>
                <w:ilvl w:val="0"/>
                <w:numId w:val="0"/>
              </w:numPr>
              <w:spacing w:lineRule="auto" w:line="240" w:before="0" w:after="0"/>
              <w:ind w:left="720" w:hanging="0"/>
              <w:jc w:val="both"/>
              <w:rPr>
                <w:rFonts w:eastAsia="Times New Roman" w:cs="Calibri" w:cstheme="minorHAnsi"/>
                <w:lang w:eastAsia="pl-PL"/>
              </w:rPr>
            </w:pPr>
            <w:r>
              <w:rPr>
                <w:rFonts w:eastAsia="Times New Roman" w:cs="Calibri" w:ascii="Arial" w:hAnsi="Arial" w:cstheme="minorHAnsi"/>
                <w:color w:val="auto"/>
                <w:sz w:val="24"/>
                <w:szCs w:val="24"/>
                <w:lang w:eastAsia="pl-PL"/>
              </w:rPr>
              <w:t>Meble, krzesła, dywany, wykładziny ewidencjonowane są na koncie 013 – pozostałe środki trwałe - bez względu na wartość.</w:t>
            </w:r>
          </w:p>
          <w:p>
            <w:pPr>
              <w:pStyle w:val="Normal"/>
              <w:numPr>
                <w:ilvl w:val="0"/>
                <w:numId w:val="0"/>
              </w:numPr>
              <w:spacing w:lineRule="auto" w:line="240" w:before="0" w:after="0"/>
              <w:ind w:left="720" w:hanging="0"/>
              <w:jc w:val="both"/>
              <w:rPr>
                <w:rFonts w:eastAsia="Times New Roman" w:cs="Calibri" w:cstheme="minorHAnsi"/>
                <w:lang w:eastAsia="pl-PL"/>
              </w:rPr>
            </w:pPr>
            <w:r>
              <w:rPr>
                <w:rFonts w:eastAsia="Times New Roman" w:cs="Calibri" w:ascii="Arial" w:hAnsi="Arial" w:cstheme="minorHAnsi"/>
                <w:color w:val="auto"/>
                <w:sz w:val="24"/>
                <w:szCs w:val="24"/>
                <w:lang w:eastAsia="pl-PL"/>
              </w:rPr>
              <w:t>Środki dydaktyczne służące procesowi dydaktyczno-wychowawczemu (bez względu na wartość) umarzane jednorazowo ewidencjonuje się na koncie 013 – pozostałe środki trwałe.</w:t>
            </w:r>
          </w:p>
          <w:p>
            <w:pPr>
              <w:pStyle w:val="Normal"/>
              <w:numPr>
                <w:ilvl w:val="0"/>
                <w:numId w:val="0"/>
              </w:numPr>
              <w:spacing w:lineRule="auto" w:line="240" w:before="0" w:after="0"/>
              <w:ind w:left="720" w:hanging="0"/>
              <w:jc w:val="both"/>
              <w:rPr>
                <w:rFonts w:cs="Calibri" w:cstheme="minorHAnsi"/>
              </w:rPr>
            </w:pPr>
            <w:r>
              <w:rPr>
                <w:rFonts w:cs="Calibri" w:ascii="Arial" w:hAnsi="Arial" w:cstheme="minorHAnsi"/>
                <w:color w:val="auto"/>
                <w:sz w:val="24"/>
                <w:szCs w:val="24"/>
              </w:rPr>
              <w:t xml:space="preserve">Przedmioty o okresie używania dłuższym niż rok o wartości od 300 zł do 10.000 zł. umarza się metodą uproszczoną, przez jednorazowy odpis w pełnej ich wartości w miesiącu zakupu i ujmuje się w ewidencji bilansowej na koncie 013 – pozostałe środki trwałe. </w:t>
            </w:r>
          </w:p>
          <w:p>
            <w:pPr>
              <w:pStyle w:val="Normal"/>
              <w:spacing w:lineRule="auto" w:line="240" w:before="0" w:after="0"/>
              <w:jc w:val="both"/>
              <w:rPr>
                <w:rFonts w:cs="Calibri" w:cstheme="minorHAnsi"/>
              </w:rPr>
            </w:pPr>
            <w:r>
              <w:rPr>
                <w:rFonts w:cs="Calibri" w:ascii="Arial" w:hAnsi="Arial" w:cstheme="minorHAnsi"/>
                <w:color w:val="auto"/>
                <w:sz w:val="24"/>
                <w:szCs w:val="24"/>
              </w:rPr>
              <w:t>Ponadto, bez względu na wartość jednorazowo umarza się:</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Książki i inne zbiory biblioteczne.</w:t>
            </w:r>
          </w:p>
          <w:p>
            <w:pPr>
              <w:pStyle w:val="NoSpacing"/>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Środki dydaktyczne służące procesowi dydaktyczno-wychowawczemu realizowanemu w szkołach i placówkach oświatowych.</w:t>
            </w:r>
          </w:p>
          <w:p>
            <w:pPr>
              <w:pStyle w:val="NoSpacing"/>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Meble, dywany i wykładziny.</w:t>
            </w:r>
          </w:p>
          <w:p>
            <w:pPr>
              <w:pStyle w:val="Normal"/>
              <w:numPr>
                <w:ilvl w:val="0"/>
                <w:numId w:val="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Pozostałe środki trwałe oraz wartości niematerialne i prawne o wartości nieprzekraczającej wielkości ustalonej w ustawie z dnia 15 lutego 1992 r. o podatku dochodowym od osób prawnych, dla których odpisy amortyzacyjne są uznawane za koszt uzyskania przychodu w 100% ich wartości w momencie oddania do używania. </w:t>
            </w:r>
          </w:p>
          <w:p>
            <w:pPr>
              <w:pStyle w:val="Normal"/>
              <w:numPr>
                <w:ilvl w:val="0"/>
                <w:numId w:val="0"/>
              </w:numPr>
              <w:spacing w:lineRule="auto" w:line="240" w:before="0" w:after="0"/>
              <w:ind w:left="720" w:hanging="0"/>
              <w:jc w:val="both"/>
              <w:rPr>
                <w:rFonts w:cs="Calibri" w:cstheme="minorHAnsi"/>
              </w:rPr>
            </w:pPr>
            <w:r>
              <w:rPr>
                <w:rFonts w:cs="Calibri" w:ascii="Arial" w:hAnsi="Arial" w:cstheme="minorHAnsi"/>
                <w:color w:val="auto"/>
                <w:sz w:val="24"/>
                <w:szCs w:val="24"/>
              </w:rPr>
              <w:t>Przedmioty o wartości powyżej 10.000 zł. zalicza się do środków trwałych i umarza metodą liniową za pomocą stawek amortyzacyjnych określonych w załączniku 1 „Wykaz rocznych stawek amortyzacyjnych” do ustawy z dnia 15.02.1992 r. o podatku dochodowym od osób prawnych (tekst jednolity Dz. U. z 2018 r. poz. 1036z późniejszymi zmianami), rozpoczynając amortyzację w miesiącu następnym, po przyjęciu środka trwałego do używania. Umorzenia dokonuje się jednorazowo za cały rok. Wartości niematerialne i prawne o cenie jednostkowej nie przekraczającej kwoty 10.000 zł odpisuje się jednorazowo w pełnej wartości w koszty. Pozostałe wartości niematerialne i prawne są umarzane według zasad i stawek amortyzacyjnych ujętych w ustawie o podatku dochodowym od osób prawnych. Na koncie 020 księguje się wartości niematerialne i prawne o przewidywanym okresie użyteczności dłuższym niż rok w sposób umożliwiający ich identyfikację oraz miejsce ich użytkowania.</w:t>
            </w:r>
          </w:p>
          <w:p>
            <w:pPr>
              <w:pStyle w:val="Normal"/>
              <w:numPr>
                <w:ilvl w:val="0"/>
                <w:numId w:val="7"/>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Ustala się następujące techniki dokumentowania zapisów księgowych oraz stosowanych uproszczeń:</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prowadzone są w siedzibie Centrum Usług Wspólnych Placówek Oświatowych na ul. Wojska Polskiego 27 we Włocławku.</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Rokiem obrotowym jest okres roku budżetowego, czyli rok kalendarzowy od 1 stycznia do 31 grudnia.</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Najkrótszym okresem sprawozdawczym są poszczególne miesiące.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Ostateczne zamknięcie i otwarcie ksiąg rachunkowych jednostki kontynuującej działalność powinno nastąpić ciągu 15 dni od dnia zatwierdzenia sprawozdania finansowego za rok obrotowy Gminy Miasta Włocławek,</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w języku polskim.</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Podstawę zapisów w księgach rachunkowych stanowią dowody księgowe stwierdzające dokonanie operacji gospodarczej, zwane „dowodami źródłowymi”, zapisy zdarzeń gospodarczych w księgach rachunkowych ujmuje się w kolejności dat ich powstawania, co najmniej z podziałem na poszczególne okresy sprawozdawcze.</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Wykazane w księgach rachunkowych na dzień ich zamknięcia stany aktywów i pasywów, ujmuje się w tej samej wysokości w bilansie otwarcia następnego roku obrotowego.</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prowadzi się techniką komputerową, dopuszcza się prowadzenie przy pomocy komputera lub techniką ręczną księgi inwentarzowe, ewidencje magazynowe, ewidencje pozabilansowe przedmiotów które nie są ewidencjonowane na kontach księgowych (opisane ewidencje podlegają nie rzadziej niż na koniec roku obrotowego weryfikacji i uzgodnieniu ze stanem na kontach księgowych).</w:t>
            </w:r>
          </w:p>
          <w:p>
            <w:pPr>
              <w:pStyle w:val="Normal"/>
              <w:numPr>
                <w:ilvl w:val="0"/>
                <w:numId w:val="8"/>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rachunkowe obejmują zbiory zapisów księgowych, obrotów i sald, które tworzą:</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dziennik,</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księgę główną (ewidencji syntetycznej) w której obowiązuje ujęcie każdej operacji zgodnie z zasadą podwójnego zapisu (Wn – Ma),</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księgi pomocnicze (analityczne),</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zestawienie obrotów i sald księgi głównej i ksiąg pomocniczych,</w:t>
            </w:r>
          </w:p>
          <w:p>
            <w:pPr>
              <w:pStyle w:val="Normal"/>
              <w:numPr>
                <w:ilvl w:val="0"/>
                <w:numId w:val="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wykaz składników aktywów i pasywów (inwentarz).</w:t>
            </w:r>
          </w:p>
          <w:p>
            <w:pPr>
              <w:pStyle w:val="NoSpacing"/>
              <w:spacing w:lineRule="auto" w:line="240" w:before="0" w:after="0"/>
              <w:jc w:val="both"/>
              <w:rPr>
                <w:rFonts w:cs="Calibri" w:cstheme="minorHAnsi"/>
              </w:rPr>
            </w:pPr>
            <w:r>
              <w:rPr>
                <w:rFonts w:cs="Calibri" w:ascii="Arial" w:hAnsi="Arial" w:cstheme="minorHAnsi"/>
                <w:color w:val="auto"/>
                <w:sz w:val="24"/>
                <w:szCs w:val="24"/>
              </w:rPr>
              <w:t xml:space="preserve">Przy prowadzeniu ksiąg rachunkowych przy użyciu komputera za równoważne z nimi uważa się odpowiednie zasoby informacyjne rachunkowości, zorganizowane w formie oddzielnych komputerowych zbiorów danych, należy zapewnić automatyczną kontrolę ciągłości zapisów, przenoszenie obrotów i sald. Wydruki komputerowe ksiąg rachunkowych powinny składać się z automatyczne numerowanych stron oraz być sumowane w sposób ciągły. Księgi rachunkowe należy wydrukować nie później niż na koniec roku obrotowego. </w:t>
            </w:r>
          </w:p>
          <w:p>
            <w:pPr>
              <w:pStyle w:val="NoSpacing"/>
              <w:spacing w:lineRule="auto" w:line="240" w:before="0" w:after="0"/>
              <w:jc w:val="both"/>
              <w:rPr>
                <w:rFonts w:cs="Calibri" w:cstheme="minorHAnsi"/>
              </w:rPr>
            </w:pPr>
            <w:r>
              <w:rPr>
                <w:rFonts w:cs="Calibri" w:ascii="Arial" w:hAnsi="Arial" w:cstheme="minorHAnsi"/>
                <w:color w:val="auto"/>
                <w:sz w:val="24"/>
                <w:szCs w:val="24"/>
              </w:rPr>
              <w:t>Za równoważne z wydrukiem uznaje się przeniesienie treści ksiąg rachunkowych na informatyczny nośnik danych, zawierający trwałość zapisu informacji na czas nie krótszy od wymaganego dla przechowywania ksiąg rachunkowych. Zapisy w księgach powinny być uporządkowane chronologicznie i systematycznie według kryteriów klasyfikacyjnych umożliwiających sporządzenie obowiązujących przez jednostkę sprawozdań finansowych, budżetowych i innych.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Zapisy w księgach rachunkowych dokonuje się na podstawie dowodów księgowych:</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zewnętrznych (otrzymywanych od kontrahentów - przekazywanych w oryginale kontrahentom),</w:t>
            </w:r>
          </w:p>
          <w:p>
            <w:pPr>
              <w:pStyle w:val="Normal"/>
              <w:numPr>
                <w:ilvl w:val="0"/>
                <w:numId w:val="11"/>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wewnętrznych – (dotyczące operacji wewnątrz jednostki).</w:t>
            </w:r>
          </w:p>
          <w:p>
            <w:pPr>
              <w:pStyle w:val="Normal"/>
              <w:numPr>
                <w:ilvl w:val="0"/>
                <w:numId w:val="10"/>
              </w:numPr>
              <w:spacing w:lineRule="auto" w:line="240" w:before="0" w:after="0"/>
              <w:jc w:val="both"/>
              <w:rPr>
                <w:rFonts w:cs="Calibri" w:cstheme="minorHAnsi"/>
              </w:rPr>
            </w:pPr>
            <w:r>
              <w:rPr>
                <w:rFonts w:cs="Calibri" w:ascii="Arial" w:hAnsi="Arial" w:cstheme="minorHAnsi"/>
                <w:color w:val="auto"/>
                <w:sz w:val="24"/>
                <w:szCs w:val="24"/>
              </w:rPr>
              <w:t>Każdy dowód księgowy odzwierciedla rzeczywisty przebieg operacji gospodarczej wolny od błędów rachunkowych. Jeżeli jedną operację dokumentuje więcej niż jeden dowód, dopuszcza się stosowanie uproszczeń polegających na zbiorczym księgowaniu operacji gospodarczych jednorodnych przeprowadzanych w ciągu dnia. Dowód jest oznaczony numerem umożliwiającym powiązanie dowodu z zapisami księgowymi, numery nadawane są przez program FK, zgodnie z nadanymi wzorcami w systemie. Identyfikator nadawany przez system FK wpisywany jest na dowodzie księgowym w prawym dolnym rogu. Dokumenty źródłowe system FK numeruje automatycznie po zamknięciu roku obrotowego, numery  z dziennika wpisuje się w prawym górnym rogu dokumentu źródłowego.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Konta syntetyczne oznaczone są symbolami trzycyfrowymi.</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Księgi rachunkowe prowadzi się rzetelnie, sprawdzalnie i bieżąco, właściwie kwalifikując dowody księgowe w odniesieniu do klasyfikacji budżetowej oraz zakładowego planu kont.</w:t>
            </w:r>
          </w:p>
          <w:p>
            <w:pPr>
              <w:pStyle w:val="NoSpacing"/>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Prowadzone są dzienniki częściowe dla określonych grup rodzajowych zdarzeń: budżet, WRDO rachunek wydzielony, ZFŚS oraz dzienniki częściowe dostosowane do potrzeb jednostki realizującej projekty (symbole dzienników częściowych ujednolicono we wszystkich jednostkach, do dzienników dotyczących realizacji projektów nazwy dzienników stanowią skrót nazwy projektu).</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Rozliczanie i grupowanie kosztów następuje na kontach rodzajowych zespołu „4” z zachowaniem zgodności wydatków za dany rok.</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Dochody i wydatki budżetowe klasyfikuje się według:</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działów i rozdziałów – określających rodzaj działalności,</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paragrafów - określających rodzaj dochodu lub wydatku, zgodnie z obowiązującą klasyfikacją budżetową,</w:t>
            </w:r>
          </w:p>
          <w:p>
            <w:pPr>
              <w:pStyle w:val="Normal"/>
              <w:numPr>
                <w:ilvl w:val="0"/>
                <w:numId w:val="12"/>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pozycji – uszczegółowienie dochodów i wydatków do potrzeb analiz i sprawozdań.</w:t>
            </w:r>
          </w:p>
          <w:p>
            <w:pPr>
              <w:pStyle w:val="Normal"/>
              <w:numPr>
                <w:ilvl w:val="0"/>
                <w:numId w:val="0"/>
              </w:numPr>
              <w:spacing w:lineRule="auto" w:line="240" w:before="0" w:after="0"/>
              <w:ind w:left="720" w:hanging="0"/>
              <w:jc w:val="both"/>
              <w:rPr>
                <w:rFonts w:cs="Calibri" w:cstheme="minorHAnsi"/>
              </w:rPr>
            </w:pPr>
            <w:r>
              <w:rPr>
                <w:rFonts w:cs="Calibri" w:ascii="Arial" w:hAnsi="Arial" w:cstheme="minorHAnsi"/>
                <w:color w:val="auto"/>
                <w:sz w:val="24"/>
                <w:szCs w:val="24"/>
              </w:rPr>
              <w:t>16) Wydatki budżetowe są realizowane:</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sposób celowy i oszczędny,</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umożliwiający terminową realizację zadań,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wysokości i terminach wynikających z wcześniej zaciągniętych zobowiązań,</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zgodnie z zasadami określonymi w przepisach o zamówieniach publicznych,</w:t>
            </w:r>
          </w:p>
          <w:p>
            <w:pPr>
              <w:pStyle w:val="Normal"/>
              <w:numPr>
                <w:ilvl w:val="0"/>
                <w:numId w:val="13"/>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nie powodując naruszeń dyscypliny budżetowej w rozumieniu Ustawy o odpowiedzialności za naruszenie dyscypliny finansów publicznych.</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Korygowanie zapisów po zamknięciu okresu sprawozdawczego (miesiąca) dokonuje się poprzez zapis ujemny (tzw. czerwone storno) na tych samych stronach kont na których nastąpił błędny zapis na podstawie dowodu wewnętrznego PK – polecenie księgowania podpisanych przez pracowników sporządzających dokument PK. Zapewnia to prawidłową wysokość obrotów i czytelność zapisów księgowych. Błędy w dowodach wewnętrznych mogą być poprawiane przez skreślenie błędnej treści lub kwoty z utrzymaniem czytelności błędnego zapisu i wpisanie poprawnej treści. Za niedopuszczalne uznaje się dokonywanie w dowodach księgowych wymazywania, przeróbek lub poprawiania pojedynczych liter lub cyfr.</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Zakup środków żywności ewidencjonuje się na koncie 310 „Materiały”, do którego prowadzona jest ewidencja analityczna w jednostkach obsługiwanych prowadzących żywienie. Pracownik jednostki obsługiwanej sporządza zestawienia miesięczne ilości i wartości artykułów żywnościowych, które są przekazywane do CUWPO celem uzgodnienia ewidencji analitycznej z syntetyczną oraz stanów magazynu na koniec miesiąca. Cenę ewidencyjną materiałów stanowi cena zakupu brutto. Na dzień bilansowy zapas materiałów w magazynie wycenia się w cenie zakupu brutto.</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Dopuszcza się księgowanie bezpośrednio w koszty wartości zużycia materiałów pozostałych, a pozostające na koniec roku zapasy zostaną objęte korektą kosztów w odniesieniu na magazyn (konto 310).</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Przyjęte w zakładowym planie kont rozwiązania należy stosować w sposób ciągły, dokonując w kolejnych latach obrotowych jednakowego grupowania operacji gospodarczych, wyceny aktywów i pasywów, w tym także odpisów amortyzacyjnych i umorzeniowych. Wynik finansowy należy ustalać oraz sporządzać sprawozdawczość tak, aby za kolejne lata informacje te były porównywalne.</w:t>
            </w:r>
          </w:p>
          <w:p>
            <w:pPr>
              <w:pStyle w:val="Normal"/>
              <w:numPr>
                <w:ilvl w:val="0"/>
                <w:numId w:val="10"/>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Stosowanie dowodów zastępczych – (art. 20 ust. 3 pkt. 3 ustawy) i jego określenie. W uzasadnionych przypadkach w razie braku możliwości uzyskania źródłowego dowodu księgowego, stosuje się dowód zastępczy w postaci dokumentu poświadczającego zakup lub wykonanie usługi wystawionego przez uprawnioną osobę. Dowód ten podlega sprawdzeniu i podpisaniu pod względem merytorycznym, formalno-rachunkowym oraz akceptacji przez głównego księgowego lub osobę upoważnioną i kierownika jednostki.</w:t>
            </w:r>
          </w:p>
          <w:p>
            <w:pPr>
              <w:pStyle w:val="Normal"/>
              <w:numPr>
                <w:ilvl w:val="0"/>
                <w:numId w:val="10"/>
              </w:numPr>
              <w:spacing w:lineRule="auto" w:line="240" w:before="0" w:after="0"/>
              <w:jc w:val="both"/>
              <w:rPr>
                <w:rFonts w:cs="Calibri" w:cstheme="minorHAnsi"/>
              </w:rPr>
            </w:pPr>
            <w:r>
              <w:rPr>
                <w:rFonts w:cs="Calibri" w:ascii="Arial" w:hAnsi="Arial" w:cstheme="minorHAnsi"/>
                <w:color w:val="auto"/>
                <w:sz w:val="24"/>
                <w:szCs w:val="24"/>
              </w:rPr>
              <w:t>Szczególnie dowodami zastępczymi dokumentowane są:</w:t>
            </w:r>
          </w:p>
          <w:p>
            <w:pPr>
              <w:pStyle w:val="Normal"/>
              <w:numPr>
                <w:ilvl w:val="0"/>
                <w:numId w:val="2"/>
              </w:numPr>
              <w:spacing w:lineRule="auto" w:line="240" w:before="0" w:after="0"/>
              <w:jc w:val="both"/>
              <w:rPr>
                <w:rFonts w:cs="Calibri" w:cstheme="minorHAnsi"/>
              </w:rPr>
            </w:pPr>
            <w:r>
              <w:rPr>
                <w:rFonts w:cs="Calibri" w:ascii="Arial" w:hAnsi="Arial" w:cstheme="minorHAnsi"/>
                <w:color w:val="auto"/>
                <w:sz w:val="24"/>
                <w:szCs w:val="24"/>
              </w:rPr>
              <w:t>różne opłaty (sądowe itp.),</w:t>
            </w:r>
          </w:p>
          <w:p>
            <w:pPr>
              <w:pStyle w:val="Normal"/>
              <w:numPr>
                <w:ilvl w:val="0"/>
                <w:numId w:val="2"/>
              </w:numPr>
              <w:spacing w:lineRule="auto" w:line="240" w:before="0" w:after="0"/>
              <w:jc w:val="both"/>
              <w:rPr>
                <w:rFonts w:cs="Calibri" w:cstheme="minorHAnsi"/>
              </w:rPr>
            </w:pPr>
            <w:r>
              <w:rPr>
                <w:rFonts w:cs="Calibri" w:ascii="Arial" w:hAnsi="Arial" w:cstheme="minorHAnsi"/>
                <w:color w:val="auto"/>
                <w:sz w:val="24"/>
                <w:szCs w:val="24"/>
              </w:rPr>
              <w:t>pokwitowania za parkingi</w:t>
            </w:r>
          </w:p>
          <w:p>
            <w:pPr>
              <w:pStyle w:val="Normal"/>
              <w:numPr>
                <w:ilvl w:val="0"/>
                <w:numId w:val="2"/>
              </w:numPr>
              <w:spacing w:lineRule="auto" w:line="240" w:before="0" w:after="0"/>
              <w:jc w:val="both"/>
              <w:rPr>
                <w:rFonts w:cs="Calibri" w:cstheme="minorHAnsi"/>
              </w:rPr>
            </w:pPr>
            <w:r>
              <w:rPr>
                <w:rFonts w:cs="Calibri" w:ascii="Arial" w:hAnsi="Arial" w:cstheme="minorHAnsi"/>
                <w:color w:val="auto"/>
                <w:sz w:val="24"/>
                <w:szCs w:val="24"/>
              </w:rPr>
              <w:t>opłaty za przejazdy autostradami,</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opłaty za abonament radiowo-telewizyjny,</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opłaty za udział w targach szkół i placówek,</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pokwitowanie za listy polecone,</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podatek od nieruchomości,</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podatek od środków transportu,</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świadczenia dla pracowników z ZFŚS zgodnie z dyspozycją pisemną Kierownika jednostki obsługiwanej,</w:t>
            </w:r>
          </w:p>
          <w:p>
            <w:pPr>
              <w:pStyle w:val="Normal"/>
              <w:numPr>
                <w:ilvl w:val="0"/>
                <w:numId w:val="1"/>
              </w:numPr>
              <w:spacing w:lineRule="auto" w:line="240" w:before="0" w:after="0"/>
              <w:jc w:val="both"/>
              <w:rPr>
                <w:rFonts w:cs="Calibri" w:cstheme="minorHAnsi"/>
              </w:rPr>
            </w:pPr>
            <w:r>
              <w:rPr>
                <w:rFonts w:cs="Calibri" w:ascii="Arial" w:hAnsi="Arial" w:cstheme="minorHAnsi"/>
                <w:color w:val="auto"/>
                <w:sz w:val="24"/>
                <w:szCs w:val="24"/>
              </w:rPr>
              <w:t>bilety przy delegacjach służbowych.</w:t>
            </w:r>
          </w:p>
          <w:p>
            <w:pPr>
              <w:pStyle w:val="Normal"/>
              <w:numPr>
                <w:ilvl w:val="0"/>
                <w:numId w:val="14"/>
              </w:numPr>
              <w:spacing w:lineRule="auto" w:line="240" w:before="0" w:after="0"/>
              <w:jc w:val="both"/>
              <w:rPr/>
            </w:pPr>
            <w:r>
              <w:rPr>
                <w:rFonts w:cs="Calibri" w:ascii="Arial" w:hAnsi="Arial" w:cstheme="minorHAnsi"/>
                <w:color w:val="auto"/>
                <w:sz w:val="24"/>
                <w:szCs w:val="24"/>
              </w:rPr>
              <w:t xml:space="preserve"> </w:t>
            </w:r>
            <w:r>
              <w:rPr>
                <w:rFonts w:cs="Calibri" w:ascii="Arial" w:hAnsi="Arial" w:cstheme="minorHAnsi"/>
                <w:color w:val="auto"/>
                <w:sz w:val="24"/>
                <w:szCs w:val="24"/>
              </w:rPr>
              <w:t>Dekretacja dokumentów księgowych jest umieszczana bezpośrednio na dowodach księgowych lub dołączona do dowodów w formie wydruku z systemu FK (z podpisem pracownika sporządzającego dekretację).</w:t>
            </w:r>
          </w:p>
          <w:p>
            <w:pPr>
              <w:pStyle w:val="Normal"/>
              <w:spacing w:lineRule="auto" w:line="240" w:before="0" w:after="120"/>
              <w:jc w:val="both"/>
              <w:rPr>
                <w:rFonts w:cs="Calibri" w:cstheme="minorHAnsi"/>
                <w:b/>
                <w:b/>
              </w:rPr>
            </w:pPr>
            <w:r>
              <w:rPr>
                <w:rFonts w:cs="Calibri" w:ascii="Arial" w:hAnsi="Arial" w:cstheme="minorHAnsi"/>
                <w:color w:val="auto"/>
                <w:sz w:val="24"/>
                <w:szCs w:val="24"/>
              </w:rPr>
              <w:t>Dokonano wyboru następujących rozwiązań dokumentowania operacji dopuszczalnych ustawą:</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 pomniejszenie wydatków poniesionych w roku budżetowym będą ujmowane refundacje i zwroty uzyskane w bieżącym roku budżetowym (na zwrot źródła pierwotnego wydatkowania), wpłaty dotyczące roku poprzedniego podlegają odprowadzeniu na konto dochodów Gminy Miasto Włocławek,</w:t>
            </w:r>
          </w:p>
          <w:p>
            <w:pPr>
              <w:pStyle w:val="Normal"/>
              <w:numPr>
                <w:ilvl w:val="0"/>
                <w:numId w:val="15"/>
              </w:numPr>
              <w:spacing w:lineRule="auto" w:line="240" w:before="0" w:after="12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 xml:space="preserve">na pomniejszenie dochodów danego roku budżetowego ujmuje się zwroty dokonane rodzicom, opiekunom na podstawie rozliczeń zatwierdzonych przez Kierownika jednostki obsługiwanej, które wpływają do CUWPO, dotyczących opłaty za pobyt i opłaty za wyżywienie, </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wykorzystując przyjęte zasady księgowania operacji gospodarczych na kontach księgi głównej dopuszcza się tworzenie rejestrów-ksiąg pomocniczych (odrębnych dzienników) wyodrębnionych do realizacji programów, projektów zgodnie z zawartymi przez jednostkę umowami,</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ponoszone z góry wydatki dotyczące w szczególności kosztów prenumeraty, abonamentów, ubezpieczeń,  zużycia energii, zużycia gazu i innych cyklicznie powtarzających się operacji są odnoszone w koszty w miesiącu ich poniesienia (wystawienia faktury) z pominięciem konta międzyokresowego rozliczenia kosztów,</w:t>
            </w:r>
          </w:p>
          <w:p>
            <w:pPr>
              <w:pStyle w:val="Normal"/>
              <w:numPr>
                <w:ilvl w:val="0"/>
                <w:numId w:val="15"/>
              </w:numPr>
              <w:spacing w:lineRule="auto" w:line="240" w:before="0" w:after="24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koszty usług telekomunikacyjnych, zakupu energii i innych o podobnym charakterze z uwagi na cykliczność i porównywalność kwot księgowane są do danego roku następująco: dowody księgowe za pełny okres rozliczeniowy i abonament zaliczane są do kosztów danego roku, w którym przypada okres rozliczeniowy, dowody księgowe za okres rozliczeniowy przypadające w dwóch różnych rocznych okresach rozliczeniowych są ujmowane w kosztach według miesiąca sprzedaży wskazanego na dokumencie księgowym.</w:t>
            </w:r>
          </w:p>
          <w:p>
            <w:pPr>
              <w:pStyle w:val="Normal"/>
              <w:numPr>
                <w:ilvl w:val="0"/>
                <w:numId w:val="15"/>
              </w:numPr>
              <w:spacing w:lineRule="auto" w:line="240" w:before="0" w:after="160"/>
              <w:contextualSpacing/>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Uwzględniając wymogi ustawy o finansach publicznych jak również zasadę kasowego wykonania budżetu dochody i wydatki budżetowe ujmuje się w terminach ich zapłaty, niezależnie od rocznego budżetu którego dotyczą.</w:t>
            </w:r>
          </w:p>
          <w:p>
            <w:pPr>
              <w:pStyle w:val="NoSpacing"/>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Należy również ujmować wszystkie etapy rozliczeń poprzedzające płatności dochodów i wydatków,  a w zakresie wydatków i kosztów – także zaangażowanie środków. Zaangażowaniem jest etap poprzedzający dokonanie wydatku, poniesienia kosztu, służy do ewidencji prawnego zaangażowania wydatków budżetowych danego raku budżetowego.</w:t>
            </w:r>
          </w:p>
          <w:p>
            <w:pPr>
              <w:pStyle w:val="NoSpacing"/>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należności, ujmuje się w księgach rachunkowych w momencie ich zapłaty lub na koniec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Odsetki od zobowiązań wymagalnych, w tym także tych, do których stosuje się przepisy dotyczące zobowiązań podatkowych, ujmowane są w księgach rachunkowych w momencie ich zapłaty lub pod datą ostatniego dnia kwartału  w wysokości odsetek należnych na koniec tego kwartału.</w:t>
            </w:r>
          </w:p>
          <w:p>
            <w:pPr>
              <w:pStyle w:val="Normal"/>
              <w:numPr>
                <w:ilvl w:val="0"/>
                <w:numId w:val="15"/>
              </w:numPr>
              <w:spacing w:lineRule="auto" w:line="240" w:before="0" w:after="0"/>
              <w:jc w:val="both"/>
              <w:rPr>
                <w:rFonts w:ascii="Arial" w:hAnsi="Arial"/>
                <w:color w:val="auto"/>
                <w:sz w:val="24"/>
                <w:szCs w:val="24"/>
              </w:rPr>
            </w:pPr>
            <w:r>
              <w:rPr>
                <w:rFonts w:cs="Calibri" w:ascii="Arial" w:hAnsi="Arial" w:cstheme="minorHAnsi"/>
                <w:color w:val="auto"/>
                <w:sz w:val="24"/>
                <w:szCs w:val="24"/>
              </w:rPr>
              <w:t>Wycena aktywów i pasywów wyrażonych w walutach obcych dokonuje się nie później niż na koniec kwartału.</w:t>
            </w:r>
          </w:p>
          <w:p>
            <w:pPr>
              <w:pStyle w:val="Normal"/>
              <w:numPr>
                <w:ilvl w:val="0"/>
                <w:numId w:val="0"/>
              </w:numPr>
              <w:spacing w:lineRule="auto" w:line="240" w:before="0" w:after="0"/>
              <w:ind w:left="720" w:hanging="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W księgach rachunkowych jednostki należy przyjąć wszystkie osiągnięte przypadające na jej rzecz przychody i obciążające ją koszty związane z tymi przychodami dotyczące danego roku obrotowego, niezależnie od terminu ich zapłaty. Oznacza to, że niezapłacone koszty będą ujęte jako zobowiązanie, a nieopłacone przychody jako należności. W trakcie roku budżetowego dokumenty dotyczące przychodów i kosztów danego miesiąca, które wpłyną do jednostki obsługującej (CUWPO) po dniu 05 następnego miesiąca, zostaną zaewidencjonowane w księgach rachunkowych w miesiącu wpływu z datą wpływu, z zastrzeżeniem zamknięcia roku.</w:t>
            </w:r>
          </w:p>
          <w:p>
            <w:pPr>
              <w:pStyle w:val="Normal"/>
              <w:numPr>
                <w:ilvl w:val="0"/>
                <w:numId w:val="16"/>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Rozliczenia z tytułu VAT.</w:t>
            </w:r>
          </w:p>
          <w:p>
            <w:pPr>
              <w:pStyle w:val="Normal"/>
              <w:numPr>
                <w:ilvl w:val="0"/>
                <w:numId w:val="17"/>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Z dniem 01 czerwca 2016 roku Gmina Miasto Włocławek wprowadziła scentralizowane zasady rozliczeń podatku od towarów i usług VAT, w związku z powyższym zasady ustalone przez Gminę Miasto Włocławek obejmują jednostki obsługiwane i CUWPO. W sprawie rozliczania podatku VAT  metodą podzielonej płatności obowiązuje Zarządzenie nr 449/2019 Prezydenta Miasta Włocławek z dnia 31 października 2019r.</w:t>
            </w:r>
          </w:p>
          <w:p>
            <w:pPr>
              <w:pStyle w:val="Normal"/>
              <w:spacing w:lineRule="auto" w:line="240" w:before="0" w:after="0"/>
              <w:jc w:val="both"/>
              <w:rPr>
                <w:rFonts w:cs="Calibri" w:cstheme="minorHAnsi"/>
              </w:rPr>
            </w:pPr>
            <w:r>
              <w:rPr>
                <w:rFonts w:cs="Calibri" w:ascii="Arial" w:hAnsi="Arial" w:cstheme="minorHAnsi"/>
                <w:color w:val="auto"/>
                <w:sz w:val="24"/>
                <w:szCs w:val="24"/>
              </w:rPr>
              <w:t>W celu realizacji MPP (Mechanizm Podzielonej Płatności)</w:t>
            </w:r>
            <w:r>
              <w:rPr>
                <w:rFonts w:cs="Calibri" w:ascii="Arial" w:hAnsi="Arial" w:cstheme="minorHAnsi"/>
                <w:b/>
                <w:color w:val="auto"/>
                <w:sz w:val="24"/>
                <w:szCs w:val="24"/>
              </w:rPr>
              <w:t xml:space="preserve">  </w:t>
            </w:r>
            <w:r>
              <w:rPr>
                <w:rFonts w:cs="Calibri" w:ascii="Arial" w:hAnsi="Arial" w:cstheme="minorHAnsi"/>
                <w:color w:val="auto"/>
                <w:sz w:val="24"/>
                <w:szCs w:val="24"/>
              </w:rPr>
              <w:t xml:space="preserve">wydzielono w księgach rachunkowych dodatkowe konta analityczne " VAT".  </w:t>
            </w:r>
          </w:p>
          <w:p>
            <w:pPr>
              <w:pStyle w:val="Normal"/>
              <w:numPr>
                <w:ilvl w:val="0"/>
                <w:numId w:val="18"/>
              </w:numPr>
              <w:spacing w:lineRule="auto" w:line="240" w:before="0" w:after="0"/>
              <w:jc w:val="both"/>
              <w:rPr>
                <w:rFonts w:ascii="Arial" w:hAnsi="Arial"/>
                <w:color w:val="auto"/>
                <w:sz w:val="24"/>
                <w:szCs w:val="24"/>
              </w:rPr>
            </w:pPr>
            <w:r>
              <w:rPr>
                <w:rFonts w:cs="Calibri" w:ascii="Arial" w:hAnsi="Arial" w:cstheme="minorHAnsi"/>
                <w:bCs/>
                <w:color w:val="auto"/>
                <w:sz w:val="24"/>
                <w:szCs w:val="24"/>
              </w:rPr>
              <w:t xml:space="preserve"> </w:t>
            </w:r>
            <w:r>
              <w:rPr>
                <w:rFonts w:cs="Calibri" w:ascii="Arial" w:hAnsi="Arial" w:cstheme="minorHAnsi"/>
                <w:bCs/>
                <w:color w:val="auto"/>
                <w:sz w:val="24"/>
                <w:szCs w:val="24"/>
              </w:rPr>
              <w:t>Sprawozdawczość finansowa:</w:t>
            </w:r>
          </w:p>
          <w:p>
            <w:pPr>
              <w:pStyle w:val="Normal"/>
              <w:numPr>
                <w:ilvl w:val="0"/>
                <w:numId w:val="19"/>
              </w:numPr>
              <w:spacing w:lineRule="auto" w:line="240" w:before="0" w:after="0"/>
              <w:jc w:val="both"/>
              <w:rPr>
                <w:rFonts w:ascii="Arial" w:hAnsi="Arial"/>
                <w:color w:val="auto"/>
                <w:sz w:val="24"/>
                <w:szCs w:val="24"/>
              </w:rPr>
            </w:pPr>
            <w:r>
              <w:rPr>
                <w:rFonts w:cs="Calibri" w:ascii="Arial" w:hAnsi="Arial" w:cstheme="minorHAnsi"/>
                <w:color w:val="auto"/>
                <w:sz w:val="24"/>
                <w:szCs w:val="24"/>
              </w:rPr>
              <w:t xml:space="preserve"> </w:t>
            </w:r>
            <w:r>
              <w:rPr>
                <w:rFonts w:cs="Calibri" w:ascii="Arial" w:hAnsi="Arial" w:cstheme="minorHAnsi"/>
                <w:color w:val="auto"/>
                <w:sz w:val="24"/>
                <w:szCs w:val="24"/>
              </w:rPr>
              <w:t>Sprawozdania finansowe sporządza się na podstawie własnych ksiąg rachunkowych. 0bejmują one bilans, rachunek zysków i strat jednostki (wariant porównawczy), informację dodatkową oraz zestawienie zmian w funduszu jednostki na dzień zamknięcia ksiąg rachunkowych, tj. na dzień 31 grudnia. Wynik finansowy ustalany jest na koncie 860 „Wynik finansowy” zgodnie z wariantem porównawczym. Sprawozdania sporządza się na drukach według wzorów określonych w Rozporządzeniu Ministra Rozwoju i Finansów.</w:t>
            </w:r>
          </w:p>
          <w:p>
            <w:pPr>
              <w:pStyle w:val="Normal"/>
              <w:numPr>
                <w:ilvl w:val="0"/>
                <w:numId w:val="20"/>
              </w:numPr>
              <w:spacing w:lineRule="auto" w:line="240" w:before="0" w:after="0"/>
              <w:jc w:val="both"/>
              <w:rPr>
                <w:rFonts w:ascii="Arial" w:hAnsi="Arial"/>
                <w:color w:val="auto"/>
                <w:sz w:val="24"/>
                <w:szCs w:val="24"/>
              </w:rPr>
            </w:pPr>
            <w:r>
              <w:rPr>
                <w:rFonts w:cs="Calibri" w:ascii="Arial" w:hAnsi="Arial" w:cstheme="minorHAnsi"/>
                <w:bCs/>
                <w:iCs/>
                <w:color w:val="auto"/>
                <w:sz w:val="24"/>
                <w:szCs w:val="24"/>
              </w:rPr>
              <w:t>Księgi rachunkowe prowadzi się techniką komputerową wg następującego oprogramowania:</w:t>
            </w:r>
          </w:p>
          <w:p>
            <w:pPr>
              <w:pStyle w:val="NoSpacing"/>
              <w:numPr>
                <w:ilvl w:val="0"/>
                <w:numId w:val="21"/>
              </w:numPr>
              <w:spacing w:lineRule="auto" w:line="240" w:before="0" w:after="0"/>
              <w:jc w:val="both"/>
              <w:rPr>
                <w:rFonts w:cs="Calibri" w:cstheme="minorHAnsi"/>
                <w:bCs/>
              </w:rPr>
            </w:pPr>
            <w:r>
              <w:rPr>
                <w:rFonts w:cs="Calibri" w:ascii="Arial" w:hAnsi="Arial" w:cstheme="minorHAnsi"/>
                <w:color w:val="auto"/>
                <w:sz w:val="24"/>
                <w:szCs w:val="24"/>
              </w:rPr>
              <w:t xml:space="preserve">1. Vulcan aplikacja Finanse VULCAN wersja zgodna z aktualizacjami programu - firma Vulcan Sp. z o.o. ul. Wołowska 6, 51-116 Wrocław. Administratorem platformy systemu Vulcan jest Gmina Miasto Włocławek. </w:t>
            </w:r>
          </w:p>
        </w:tc>
      </w:tr>
      <w:tr>
        <w:trPr>
          <w:trHeight w:val="671" w:hRule="atLeast"/>
        </w:trPr>
        <w:tc>
          <w:tcPr>
            <w:tcW w:w="599"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5.</w:t>
            </w:r>
          </w:p>
        </w:tc>
        <w:tc>
          <w:tcPr>
            <w:tcW w:w="15101" w:type="dxa"/>
            <w:tcBorders/>
            <w:shd w:fill="auto" w:val="clear"/>
          </w:tcPr>
          <w:p>
            <w:pPr>
              <w:pStyle w:val="Normal"/>
              <w:spacing w:lineRule="auto" w:line="240" w:before="0" w:after="0"/>
              <w:rPr>
                <w:b/>
                <w:b/>
                <w:sz w:val="24"/>
                <w:szCs w:val="24"/>
              </w:rPr>
            </w:pPr>
            <w:r>
              <w:rPr>
                <w:rFonts w:ascii="Arial" w:hAnsi="Arial"/>
                <w:color w:val="auto"/>
                <w:sz w:val="24"/>
                <w:szCs w:val="24"/>
              </w:rPr>
              <w:t>inne informacje</w:t>
            </w:r>
          </w:p>
        </w:tc>
      </w:tr>
      <w:tr>
        <w:trPr>
          <w:trHeight w:val="567" w:hRule="atLeast"/>
        </w:trPr>
        <w:tc>
          <w:tcPr>
            <w:tcW w:w="599" w:type="dxa"/>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rHeight w:val="844" w:hRule="atLeast"/>
        </w:trPr>
        <w:tc>
          <w:tcPr>
            <w:tcW w:w="599" w:type="dxa"/>
            <w:tcBorders/>
            <w:shd w:fill="auto" w:val="clear"/>
          </w:tcPr>
          <w:p>
            <w:pPr>
              <w:pStyle w:val="Normal"/>
              <w:spacing w:lineRule="auto" w:line="240" w:before="0" w:after="0"/>
              <w:rPr>
                <w:rFonts w:cs="Calibri" w:cstheme="minorHAnsi"/>
                <w:b/>
                <w:b/>
                <w:sz w:val="20"/>
                <w:szCs w:val="20"/>
              </w:rPr>
            </w:pPr>
            <w:r>
              <w:rPr>
                <w:rFonts w:cs="Calibri" w:ascii="Arial" w:hAnsi="Arial" w:cstheme="minorHAnsi"/>
                <w:b/>
                <w:color w:val="auto"/>
                <w:sz w:val="24"/>
                <w:szCs w:val="24"/>
              </w:rPr>
              <w:t>II.</w:t>
            </w:r>
          </w:p>
        </w:tc>
        <w:tc>
          <w:tcPr>
            <w:tcW w:w="15101" w:type="dxa"/>
            <w:tcBorders/>
            <w:shd w:fill="auto" w:val="clear"/>
          </w:tcPr>
          <w:p>
            <w:pPr>
              <w:pStyle w:val="Normal"/>
              <w:spacing w:lineRule="auto" w:line="240" w:before="0" w:after="0"/>
              <w:rPr>
                <w:b/>
                <w:b/>
                <w:sz w:val="24"/>
                <w:szCs w:val="24"/>
              </w:rPr>
            </w:pPr>
            <w:r>
              <w:rPr>
                <w:rFonts w:ascii="Arial" w:hAnsi="Arial"/>
                <w:b/>
                <w:bCs/>
                <w:color w:val="auto"/>
                <w:sz w:val="24"/>
                <w:szCs w:val="24"/>
              </w:rPr>
              <w:t>Dodatkowe informacje i objaśnienia obejmują w szczególności:</w:t>
            </w:r>
          </w:p>
        </w:tc>
      </w:tr>
      <w:tr>
        <w:trPr>
          <w:trHeight w:val="836" w:hRule="atLeast"/>
        </w:trPr>
        <w:tc>
          <w:tcPr>
            <w:tcW w:w="599"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w:t>
            </w:r>
          </w:p>
        </w:tc>
        <w:tc>
          <w:tcPr>
            <w:tcW w:w="15101" w:type="dxa"/>
            <w:tcBorders/>
            <w:shd w:fill="auto" w:val="clear"/>
          </w:tcPr>
          <w:p>
            <w:pPr>
              <w:pStyle w:val="Normal"/>
              <w:spacing w:lineRule="auto" w:line="240" w:before="0" w:after="0"/>
              <w:rPr>
                <w:rFonts w:ascii="Arial" w:hAnsi="Arial"/>
                <w:b/>
                <w:b/>
                <w:color w:val="auto"/>
                <w:sz w:val="24"/>
                <w:szCs w:val="24"/>
              </w:rPr>
            </w:pPr>
            <w:r>
              <w:rPr>
                <w:rFonts w:ascii="Arial" w:hAnsi="Arial"/>
                <w:b/>
                <w:color w:val="auto"/>
                <w:sz w:val="24"/>
                <w:szCs w:val="24"/>
              </w:rPr>
            </w:r>
          </w:p>
        </w:tc>
      </w:tr>
      <w:tr>
        <w:trPr/>
        <w:tc>
          <w:tcPr>
            <w:tcW w:w="599" w:type="dxa"/>
            <w:tcBorders/>
            <w:shd w:fill="auto" w:val="clear"/>
          </w:tcPr>
          <w:p>
            <w:pPr>
              <w:pStyle w:val="Normal"/>
              <w:spacing w:lineRule="auto" w:line="240" w:before="0" w:after="0"/>
              <w:rPr>
                <w:rFonts w:cs="Calibri" w:cstheme="minorHAnsi"/>
                <w:sz w:val="20"/>
                <w:szCs w:val="20"/>
              </w:rPr>
            </w:pPr>
            <w:r>
              <w:rPr>
                <w:rFonts w:cs="Calibri" w:ascii="Arial" w:hAnsi="Arial" w:cstheme="minorHAnsi"/>
                <w:color w:val="auto"/>
                <w:sz w:val="24"/>
                <w:szCs w:val="24"/>
              </w:rPr>
              <w:t>1.1</w:t>
            </w:r>
          </w:p>
        </w:tc>
        <w:tc>
          <w:tcPr>
            <w:tcW w:w="15101" w:type="dxa"/>
            <w:tcBorders/>
            <w:shd w:fill="auto" w:val="clear"/>
          </w:tcPr>
          <w:p>
            <w:pPr>
              <w:pStyle w:val="Normal"/>
              <w:widowControl w:val="false"/>
              <w:spacing w:lineRule="auto" w:line="247" w:before="47" w:after="160"/>
              <w:ind w:right="40" w:hanging="0"/>
              <w:jc w:val="both"/>
              <w:rPr>
                <w:rFonts w:cs="Calibri" w:cstheme="minorHAnsi"/>
                <w:color w:val="2E2014"/>
              </w:rPr>
            </w:pPr>
            <w:r>
              <w:rPr>
                <w:rFonts w:cs="Calibri" w:ascii="Arial" w:hAnsi="Arial" w:cstheme="minorHAnsi"/>
                <w:color w:val="auto"/>
                <w:sz w:val="24"/>
                <w:szCs w:val="24"/>
              </w:rPr>
              <w:t>szczegółowy</w:t>
            </w:r>
            <w:r>
              <w:rPr>
                <w:rFonts w:cs="Calibri" w:ascii="Arial" w:hAnsi="Arial" w:cstheme="minorHAnsi"/>
                <w:color w:val="auto"/>
                <w:spacing w:val="1"/>
                <w:sz w:val="24"/>
                <w:szCs w:val="24"/>
              </w:rPr>
              <w:t xml:space="preserve"> </w:t>
            </w:r>
            <w:r>
              <w:rPr>
                <w:rFonts w:cs="Calibri" w:ascii="Arial" w:hAnsi="Arial" w:cstheme="minorHAnsi"/>
                <w:color w:val="auto"/>
                <w:sz w:val="24"/>
                <w:szCs w:val="24"/>
              </w:rPr>
              <w:t>zakres</w:t>
            </w:r>
            <w:r>
              <w:rPr>
                <w:rFonts w:cs="Calibri" w:ascii="Arial" w:hAnsi="Arial" w:cstheme="minorHAnsi"/>
                <w:color w:val="auto"/>
                <w:spacing w:val="1"/>
                <w:sz w:val="24"/>
                <w:szCs w:val="24"/>
              </w:rPr>
              <w:t xml:space="preserve"> </w:t>
            </w:r>
            <w:r>
              <w:rPr>
                <w:rFonts w:cs="Calibri" w:ascii="Arial" w:hAnsi="Arial" w:cstheme="minorHAnsi"/>
                <w:color w:val="auto"/>
                <w:sz w:val="24"/>
                <w:szCs w:val="24"/>
              </w:rPr>
              <w:t>zmian</w:t>
            </w:r>
            <w:r>
              <w:rPr>
                <w:rFonts w:cs="Calibri" w:ascii="Arial" w:hAnsi="Arial" w:cstheme="minorHAnsi"/>
                <w:color w:val="auto"/>
                <w:spacing w:val="1"/>
                <w:sz w:val="24"/>
                <w:szCs w:val="24"/>
              </w:rPr>
              <w:t xml:space="preserve"> </w:t>
            </w:r>
            <w:r>
              <w:rPr>
                <w:rFonts w:cs="Calibri" w:ascii="Arial" w:hAnsi="Arial" w:cstheme="minorHAnsi"/>
                <w:color w:val="auto"/>
                <w:sz w:val="24"/>
                <w:szCs w:val="24"/>
              </w:rPr>
              <w:t>wartości</w:t>
            </w:r>
            <w:r>
              <w:rPr>
                <w:rFonts w:cs="Calibri" w:ascii="Arial" w:hAnsi="Arial" w:cstheme="minorHAnsi"/>
                <w:color w:val="auto"/>
                <w:spacing w:val="1"/>
                <w:sz w:val="24"/>
                <w:szCs w:val="24"/>
              </w:rPr>
              <w:t xml:space="preserve"> </w:t>
            </w:r>
            <w:r>
              <w:rPr>
                <w:rFonts w:cs="Calibri" w:ascii="Arial" w:hAnsi="Arial" w:cstheme="minorHAnsi"/>
                <w:color w:val="auto"/>
                <w:sz w:val="24"/>
                <w:szCs w:val="24"/>
              </w:rPr>
              <w:t>grup</w:t>
            </w:r>
            <w:r>
              <w:rPr>
                <w:rFonts w:cs="Calibri" w:ascii="Arial" w:hAnsi="Arial" w:cstheme="minorHAnsi"/>
                <w:color w:val="auto"/>
                <w:spacing w:val="1"/>
                <w:sz w:val="24"/>
                <w:szCs w:val="24"/>
              </w:rPr>
              <w:t xml:space="preserve"> </w:t>
            </w:r>
            <w:r>
              <w:rPr>
                <w:rFonts w:cs="Calibri" w:ascii="Arial" w:hAnsi="Arial" w:cstheme="minorHAnsi"/>
                <w:color w:val="auto"/>
                <w:sz w:val="24"/>
                <w:szCs w:val="24"/>
              </w:rPr>
              <w:t>rodzajowych</w:t>
            </w:r>
            <w:r>
              <w:rPr>
                <w:rFonts w:cs="Calibri" w:ascii="Arial" w:hAnsi="Arial" w:cstheme="minorHAnsi"/>
                <w:color w:val="auto"/>
                <w:spacing w:val="1"/>
                <w:sz w:val="24"/>
                <w:szCs w:val="24"/>
              </w:rPr>
              <w:t xml:space="preserve"> </w:t>
            </w:r>
            <w:r>
              <w:rPr>
                <w:rFonts w:cs="Calibri" w:ascii="Arial" w:hAnsi="Arial" w:cstheme="minorHAnsi"/>
                <w:color w:val="auto"/>
                <w:sz w:val="24"/>
                <w:szCs w:val="24"/>
              </w:rPr>
              <w:t>środków</w:t>
            </w:r>
            <w:r>
              <w:rPr>
                <w:rFonts w:cs="Calibri" w:ascii="Arial" w:hAnsi="Arial" w:cstheme="minorHAnsi"/>
                <w:color w:val="auto"/>
                <w:spacing w:val="1"/>
                <w:sz w:val="24"/>
                <w:szCs w:val="24"/>
              </w:rPr>
              <w:t xml:space="preserve"> </w:t>
            </w:r>
            <w:r>
              <w:rPr>
                <w:rFonts w:cs="Calibri" w:ascii="Arial" w:hAnsi="Arial" w:cstheme="minorHAnsi"/>
                <w:color w:val="auto"/>
                <w:sz w:val="24"/>
                <w:szCs w:val="24"/>
              </w:rPr>
              <w:t>trwałych,</w:t>
            </w:r>
            <w:r>
              <w:rPr>
                <w:rFonts w:cs="Calibri" w:ascii="Arial" w:hAnsi="Arial" w:cstheme="minorHAnsi"/>
                <w:color w:val="auto"/>
                <w:spacing w:val="1"/>
                <w:sz w:val="24"/>
                <w:szCs w:val="24"/>
              </w:rPr>
              <w:t xml:space="preserve"> </w:t>
            </w:r>
            <w:r>
              <w:rPr>
                <w:rFonts w:cs="Calibri" w:ascii="Arial" w:hAnsi="Arial" w:cstheme="minorHAnsi"/>
                <w:color w:val="auto"/>
                <w:sz w:val="24"/>
                <w:szCs w:val="24"/>
              </w:rPr>
              <w:t>wartości</w:t>
            </w:r>
            <w:r>
              <w:rPr>
                <w:rFonts w:cs="Calibri" w:ascii="Arial" w:hAnsi="Arial" w:cstheme="minorHAnsi"/>
                <w:color w:val="auto"/>
                <w:spacing w:val="1"/>
                <w:sz w:val="24"/>
                <w:szCs w:val="24"/>
              </w:rPr>
              <w:t xml:space="preserve"> </w:t>
            </w:r>
            <w:r>
              <w:rPr>
                <w:rFonts w:cs="Calibri" w:ascii="Arial" w:hAnsi="Arial" w:cstheme="minorHAnsi"/>
                <w:color w:val="auto"/>
                <w:sz w:val="24"/>
                <w:szCs w:val="24"/>
              </w:rPr>
              <w:t>niematerialnych i prawnych, zawierający stan tych aktywów na początek roku obrotowego, zwiększenia i zmniejszenia z tytułu: aktualizacji wartości,</w:t>
            </w:r>
            <w:r>
              <w:rPr>
                <w:rFonts w:cs="Calibri" w:ascii="Arial" w:hAnsi="Arial" w:cstheme="minorHAnsi"/>
                <w:color w:val="auto"/>
                <w:spacing w:val="-6"/>
                <w:sz w:val="24"/>
                <w:szCs w:val="24"/>
              </w:rPr>
              <w:t xml:space="preserve"> </w:t>
            </w:r>
            <w:r>
              <w:rPr>
                <w:rFonts w:cs="Calibri" w:ascii="Arial" w:hAnsi="Arial" w:cstheme="minorHAnsi"/>
                <w:color w:val="auto"/>
                <w:sz w:val="24"/>
                <w:szCs w:val="24"/>
              </w:rPr>
              <w:t>nabycia,</w:t>
            </w:r>
            <w:r>
              <w:rPr>
                <w:rFonts w:cs="Calibri" w:ascii="Arial" w:hAnsi="Arial" w:cstheme="minorHAnsi"/>
                <w:color w:val="auto"/>
                <w:spacing w:val="-6"/>
                <w:sz w:val="24"/>
                <w:szCs w:val="24"/>
              </w:rPr>
              <w:t xml:space="preserve"> </w:t>
            </w:r>
            <w:r>
              <w:rPr>
                <w:rFonts w:cs="Calibri" w:ascii="Arial" w:hAnsi="Arial" w:cstheme="minorHAnsi"/>
                <w:color w:val="auto"/>
                <w:sz w:val="24"/>
                <w:szCs w:val="24"/>
              </w:rPr>
              <w:t>rozchodu,</w:t>
            </w:r>
            <w:r>
              <w:rPr>
                <w:rFonts w:cs="Calibri" w:ascii="Arial" w:hAnsi="Arial" w:cstheme="minorHAnsi"/>
                <w:color w:val="auto"/>
                <w:spacing w:val="-6"/>
                <w:sz w:val="24"/>
                <w:szCs w:val="24"/>
              </w:rPr>
              <w:t xml:space="preserve"> </w:t>
            </w:r>
            <w:r>
              <w:rPr>
                <w:rFonts w:cs="Calibri" w:ascii="Arial" w:hAnsi="Arial" w:cstheme="minorHAnsi"/>
                <w:color w:val="auto"/>
                <w:sz w:val="24"/>
                <w:szCs w:val="24"/>
              </w:rPr>
              <w:t>przemieszczenia</w:t>
            </w:r>
            <w:r>
              <w:rPr>
                <w:rFonts w:cs="Calibri" w:ascii="Arial" w:hAnsi="Arial" w:cstheme="minorHAnsi"/>
                <w:color w:val="auto"/>
                <w:spacing w:val="-7"/>
                <w:sz w:val="24"/>
                <w:szCs w:val="24"/>
              </w:rPr>
              <w:t xml:space="preserve"> </w:t>
            </w:r>
            <w:r>
              <w:rPr>
                <w:rFonts w:cs="Calibri" w:ascii="Arial" w:hAnsi="Arial" w:cstheme="minorHAnsi"/>
                <w:color w:val="auto"/>
                <w:sz w:val="24"/>
                <w:szCs w:val="24"/>
              </w:rPr>
              <w:t>wewnętrznego</w:t>
            </w:r>
            <w:r>
              <w:rPr>
                <w:rFonts w:cs="Calibri" w:ascii="Arial" w:hAnsi="Arial" w:cstheme="minorHAnsi"/>
                <w:color w:val="auto"/>
                <w:spacing w:val="-6"/>
                <w:sz w:val="24"/>
                <w:szCs w:val="24"/>
              </w:rPr>
              <w:t xml:space="preserve"> </w:t>
            </w:r>
            <w:r>
              <w:rPr>
                <w:rFonts w:cs="Calibri" w:ascii="Arial" w:hAnsi="Arial" w:cstheme="minorHAnsi"/>
                <w:color w:val="auto"/>
                <w:sz w:val="24"/>
                <w:szCs w:val="24"/>
              </w:rPr>
              <w:t>oraz</w:t>
            </w:r>
            <w:r>
              <w:rPr>
                <w:rFonts w:cs="Calibri" w:ascii="Arial" w:hAnsi="Arial" w:cstheme="minorHAnsi"/>
                <w:color w:val="auto"/>
                <w:spacing w:val="-6"/>
                <w:sz w:val="24"/>
                <w:szCs w:val="24"/>
              </w:rPr>
              <w:t xml:space="preserve"> </w:t>
            </w:r>
            <w:r>
              <w:rPr>
                <w:rFonts w:cs="Calibri" w:ascii="Arial" w:hAnsi="Arial" w:cstheme="minorHAnsi"/>
                <w:color w:val="auto"/>
                <w:sz w:val="24"/>
                <w:szCs w:val="24"/>
              </w:rPr>
              <w:t>stan</w:t>
            </w:r>
            <w:r>
              <w:rPr>
                <w:rFonts w:cs="Calibri" w:ascii="Arial" w:hAnsi="Arial" w:cstheme="minorHAnsi"/>
                <w:color w:val="auto"/>
                <w:spacing w:val="-6"/>
                <w:sz w:val="24"/>
                <w:szCs w:val="24"/>
              </w:rPr>
              <w:t xml:space="preserve"> </w:t>
            </w:r>
            <w:r>
              <w:rPr>
                <w:rFonts w:cs="Calibri" w:ascii="Arial" w:hAnsi="Arial" w:cstheme="minorHAnsi"/>
                <w:color w:val="auto"/>
                <w:sz w:val="24"/>
                <w:szCs w:val="24"/>
              </w:rPr>
              <w:t>końcowy,</w:t>
            </w:r>
            <w:r>
              <w:rPr>
                <w:rFonts w:cs="Calibri" w:ascii="Arial" w:hAnsi="Arial" w:cstheme="minorHAnsi"/>
                <w:color w:val="auto"/>
                <w:spacing w:val="-6"/>
                <w:sz w:val="24"/>
                <w:szCs w:val="24"/>
              </w:rPr>
              <w:t xml:space="preserve"> </w:t>
            </w:r>
            <w:r>
              <w:rPr>
                <w:rFonts w:cs="Calibri" w:ascii="Arial" w:hAnsi="Arial" w:cstheme="minorHAnsi"/>
                <w:color w:val="auto"/>
                <w:sz w:val="24"/>
                <w:szCs w:val="24"/>
              </w:rPr>
              <w:t>a</w:t>
            </w:r>
            <w:r>
              <w:rPr>
                <w:rFonts w:cs="Calibri" w:ascii="Arial" w:hAnsi="Arial" w:cstheme="minorHAnsi"/>
                <w:color w:val="auto"/>
                <w:spacing w:val="-7"/>
                <w:sz w:val="24"/>
                <w:szCs w:val="24"/>
              </w:rPr>
              <w:t xml:space="preserve"> </w:t>
            </w:r>
            <w:r>
              <w:rPr>
                <w:rFonts w:cs="Calibri" w:ascii="Arial" w:hAnsi="Arial" w:cstheme="minorHAnsi"/>
                <w:color w:val="auto"/>
                <w:sz w:val="24"/>
                <w:szCs w:val="24"/>
              </w:rPr>
              <w:t>dla</w:t>
            </w:r>
            <w:r>
              <w:rPr>
                <w:rFonts w:cs="Calibri" w:ascii="Arial" w:hAnsi="Arial" w:cstheme="minorHAnsi"/>
                <w:color w:val="auto"/>
                <w:spacing w:val="-6"/>
                <w:sz w:val="24"/>
                <w:szCs w:val="24"/>
              </w:rPr>
              <w:t xml:space="preserve"> </w:t>
            </w:r>
            <w:r>
              <w:rPr>
                <w:rFonts w:cs="Calibri" w:ascii="Arial" w:hAnsi="Arial" w:cstheme="minorHAnsi"/>
                <w:color w:val="auto"/>
                <w:sz w:val="24"/>
                <w:szCs w:val="24"/>
              </w:rPr>
              <w:t>majątku</w:t>
            </w:r>
            <w:r>
              <w:rPr>
                <w:rFonts w:cs="Calibri" w:ascii="Arial" w:hAnsi="Arial" w:cstheme="minorHAnsi"/>
                <w:color w:val="auto"/>
                <w:spacing w:val="-7"/>
                <w:sz w:val="24"/>
                <w:szCs w:val="24"/>
              </w:rPr>
              <w:t xml:space="preserve"> </w:t>
            </w:r>
            <w:r>
              <w:rPr>
                <w:rFonts w:cs="Calibri" w:ascii="Arial" w:hAnsi="Arial" w:cstheme="minorHAnsi"/>
                <w:color w:val="auto"/>
                <w:sz w:val="24"/>
                <w:szCs w:val="24"/>
              </w:rPr>
              <w:t>amortyzowanego</w:t>
            </w:r>
          </w:p>
          <w:p>
            <w:pPr>
              <w:pStyle w:val="Normal"/>
              <w:spacing w:lineRule="auto" w:line="240" w:before="0" w:after="0"/>
              <w:rPr>
                <w:rFonts w:cs="Calibri" w:cstheme="minorHAnsi"/>
                <w:color w:val="2E2014"/>
              </w:rPr>
            </w:pPr>
            <w:r>
              <w:rPr>
                <w:rFonts w:cs="Calibri" w:ascii="Arial" w:hAnsi="Arial" w:cstheme="minorHAnsi"/>
                <w:color w:val="auto"/>
                <w:sz w:val="24"/>
                <w:szCs w:val="24"/>
              </w:rPr>
              <w:t xml:space="preserve">– </w:t>
            </w:r>
            <w:r>
              <w:rPr>
                <w:rFonts w:cs="Calibri" w:ascii="Arial" w:hAnsi="Arial" w:cstheme="minorHAnsi"/>
                <w:color w:val="auto"/>
                <w:sz w:val="24"/>
                <w:szCs w:val="24"/>
              </w:rPr>
              <w:t>podobne przedstawienie stanów i tytułów zmian dotychczasowej amortyzacji lub umorzenia</w:t>
            </w:r>
          </w:p>
          <w:tbl>
            <w:tblPr>
              <w:tblW w:w="5000" w:type="pct"/>
              <w:jc w:val="left"/>
              <w:tblInd w:w="0" w:type="dxa"/>
              <w:tblCellMar>
                <w:top w:w="0" w:type="dxa"/>
                <w:left w:w="70" w:type="dxa"/>
                <w:bottom w:w="0" w:type="dxa"/>
                <w:right w:w="70" w:type="dxa"/>
              </w:tblCellMar>
              <w:tblLook w:val="04a0"/>
            </w:tblPr>
            <w:tblGrid>
              <w:gridCol w:w="321"/>
              <w:gridCol w:w="898"/>
              <w:gridCol w:w="905"/>
              <w:gridCol w:w="412"/>
              <w:gridCol w:w="120"/>
              <w:gridCol w:w="563"/>
              <w:gridCol w:w="75"/>
              <w:gridCol w:w="384"/>
              <w:gridCol w:w="1"/>
              <w:gridCol w:w="859"/>
              <w:gridCol w:w="2"/>
              <w:gridCol w:w="525"/>
              <w:gridCol w:w="2"/>
              <w:gridCol w:w="744"/>
              <w:gridCol w:w="1"/>
              <w:gridCol w:w="395"/>
              <w:gridCol w:w="1"/>
              <w:gridCol w:w="898"/>
              <w:gridCol w:w="1"/>
              <w:gridCol w:w="904"/>
              <w:gridCol w:w="2"/>
              <w:gridCol w:w="905"/>
              <w:gridCol w:w="1"/>
              <w:gridCol w:w="395"/>
              <w:gridCol w:w="68"/>
              <w:gridCol w:w="738"/>
              <w:gridCol w:w="14"/>
              <w:gridCol w:w="677"/>
              <w:gridCol w:w="2"/>
              <w:gridCol w:w="3"/>
              <w:gridCol w:w="842"/>
              <w:gridCol w:w="2"/>
              <w:gridCol w:w="3"/>
              <w:gridCol w:w="402"/>
              <w:gridCol w:w="1"/>
              <w:gridCol w:w="4"/>
              <w:gridCol w:w="978"/>
              <w:gridCol w:w="2"/>
              <w:gridCol w:w="4"/>
              <w:gridCol w:w="792"/>
              <w:gridCol w:w="110"/>
              <w:gridCol w:w="926"/>
            </w:tblGrid>
            <w:tr>
              <w:trPr>
                <w:trHeight w:val="330" w:hRule="atLeast"/>
              </w:trPr>
              <w:tc>
                <w:tcPr>
                  <w:tcW w:w="14882" w:type="dxa"/>
                  <w:gridSpan w:val="42"/>
                  <w:tcBorders/>
                  <w:shd w:color="auto" w:fill="auto" w:val="clear"/>
                  <w:vAlign w:val="center"/>
                </w:tcPr>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w:hAnsi="Arial" w:eastAsia="Times New Roman" w:cs="Calibri"/>
                      <w:b/>
                      <w:b/>
                      <w:bCs/>
                      <w:color w:val="auto"/>
                      <w:sz w:val="24"/>
                      <w:szCs w:val="24"/>
                      <w:u w:val="single"/>
                      <w:lang w:eastAsia="pl-PL"/>
                    </w:rPr>
                  </w:pPr>
                  <w:r>
                    <w:rPr>
                      <w:rFonts w:eastAsia="Times New Roman" w:cs="Calibri" w:ascii="Arial" w:hAnsi="Arial"/>
                      <w:b/>
                      <w:bCs/>
                      <w:color w:val="auto"/>
                      <w:sz w:val="24"/>
                      <w:szCs w:val="24"/>
                      <w:u w:val="single"/>
                      <w:lang w:eastAsia="pl-PL"/>
                    </w:rPr>
                  </w:r>
                </w:p>
                <w:p>
                  <w:pPr>
                    <w:pStyle w:val="Normal"/>
                    <w:spacing w:lineRule="auto" w:line="240" w:before="0" w:after="0"/>
                    <w:rPr>
                      <w:rFonts w:ascii="Arial Narrow" w:hAnsi="Arial Narrow" w:eastAsia="Times New Roman" w:cs="Calibri"/>
                      <w:b/>
                      <w:b/>
                      <w:bCs/>
                      <w:color w:val="000000"/>
                      <w:sz w:val="16"/>
                      <w:szCs w:val="16"/>
                      <w:u w:val="single"/>
                      <w:lang w:eastAsia="pl-PL"/>
                    </w:rPr>
                  </w:pPr>
                  <w:r>
                    <w:rPr>
                      <w:rFonts w:eastAsia="Times New Roman" w:cs="Calibri" w:ascii="Arial" w:hAnsi="Arial"/>
                      <w:b/>
                      <w:bCs/>
                      <w:color w:val="auto"/>
                      <w:sz w:val="24"/>
                      <w:szCs w:val="24"/>
                      <w:u w:val="single"/>
                      <w:lang w:eastAsia="pl-PL"/>
                    </w:rPr>
                    <w:t xml:space="preserve">Główne składniki aktywów trwałych </w:t>
                  </w:r>
                </w:p>
              </w:tc>
            </w:tr>
            <w:tr>
              <w:trPr>
                <w:trHeight w:val="330" w:hRule="atLeast"/>
              </w:trPr>
              <w:tc>
                <w:tcPr>
                  <w:tcW w:w="321"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898"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905" w:type="dxa"/>
                  <w:tcBorders>
                    <w:bottom w:val="single" w:sz="4" w:space="0" w:color="000000"/>
                  </w:tcBorders>
                  <w:shd w:color="auto" w:fill="auto" w:val="clear"/>
                  <w:vAlign w:val="center"/>
                </w:tcPr>
                <w:p>
                  <w:pPr>
                    <w:pStyle w:val="Normal"/>
                    <w:spacing w:lineRule="auto" w:line="240" w:before="0" w:after="0"/>
                    <w:rPr>
                      <w:rFonts w:ascii="Arial" w:hAnsi="Arial" w:eastAsia="Times New Roman" w:cs="Calibri"/>
                      <w:b/>
                      <w:b/>
                      <w:bCs/>
                      <w:color w:val="auto"/>
                      <w:sz w:val="24"/>
                      <w:szCs w:val="24"/>
                      <w:lang w:eastAsia="pl-PL"/>
                    </w:rPr>
                  </w:pPr>
                  <w:r>
                    <w:rPr>
                      <w:rFonts w:eastAsia="Times New Roman" w:cs="Calibri" w:ascii="Arial" w:hAnsi="Arial"/>
                      <w:b/>
                      <w:bCs/>
                      <w:color w:val="auto"/>
                      <w:sz w:val="24"/>
                      <w:szCs w:val="24"/>
                      <w:lang w:eastAsia="pl-PL"/>
                    </w:rPr>
                  </w:r>
                </w:p>
              </w:tc>
              <w:tc>
                <w:tcPr>
                  <w:tcW w:w="53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638"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38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861"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527"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745"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39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89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90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90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463"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752"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679"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847"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406"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984" w:type="dxa"/>
                  <w:gridSpan w:val="3"/>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79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c>
                <w:tcPr>
                  <w:tcW w:w="1036" w:type="dxa"/>
                  <w:gridSpan w:val="2"/>
                  <w:tcBorders>
                    <w:bottom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6"/>
                      <w:szCs w:val="16"/>
                      <w:lang w:eastAsia="pl-PL"/>
                    </w:rPr>
                  </w:pPr>
                  <w:r>
                    <w:rPr>
                      <w:rFonts w:eastAsia="Times New Roman" w:cs="Calibri" w:ascii="Arial" w:hAnsi="Arial"/>
                      <w:b/>
                      <w:bCs/>
                      <w:color w:val="auto"/>
                      <w:sz w:val="24"/>
                      <w:szCs w:val="24"/>
                      <w:lang w:eastAsia="pl-PL"/>
                    </w:rPr>
                    <w:t> </w:t>
                  </w:r>
                </w:p>
              </w:tc>
            </w:tr>
            <w:tr>
              <w:trPr>
                <w:trHeight w:val="510" w:hRule="atLeast"/>
              </w:trPr>
              <w:tc>
                <w:tcPr>
                  <w:tcW w:w="321"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Lp.</w:t>
                  </w:r>
                </w:p>
              </w:tc>
              <w:tc>
                <w:tcPr>
                  <w:tcW w:w="898"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Nazwa grupy rodzajowej składnika aktywów trwałych</w:t>
                  </w:r>
                </w:p>
              </w:tc>
              <w:tc>
                <w:tcPr>
                  <w:tcW w:w="905" w:type="dxa"/>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Wartość początkowa - stan na początek roku obrotowego</w:t>
                  </w:r>
                </w:p>
              </w:tc>
              <w:tc>
                <w:tcPr>
                  <w:tcW w:w="1555" w:type="dxa"/>
                  <w:gridSpan w:val="6"/>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Zwiększenie wartości początkowej</w:t>
                  </w:r>
                </w:p>
              </w:tc>
              <w:tc>
                <w:tcPr>
                  <w:tcW w:w="861"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Ogółem zwiększenie wartości początkowej (4+5+6)</w:t>
                  </w:r>
                </w:p>
              </w:tc>
              <w:tc>
                <w:tcPr>
                  <w:tcW w:w="1668" w:type="dxa"/>
                  <w:gridSpan w:val="6"/>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Zmniejszenie wartości początkowej</w:t>
                  </w:r>
                </w:p>
              </w:tc>
              <w:tc>
                <w:tcPr>
                  <w:tcW w:w="899"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Ogółem zmniejszenie wartości początkowej                                                                                                                              (8+9+10)</w:t>
                  </w:r>
                </w:p>
              </w:tc>
              <w:tc>
                <w:tcPr>
                  <w:tcW w:w="906" w:type="dxa"/>
                  <w:gridSpan w:val="2"/>
                  <w:vMerge w:val="restart"/>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Wartość początkowa - stan na koniec roku obrotowego                                                                                                                                           (3+7-11)</w:t>
                  </w:r>
                </w:p>
              </w:tc>
              <w:tc>
                <w:tcPr>
                  <w:tcW w:w="906" w:type="dxa"/>
                  <w:gridSpan w:val="2"/>
                  <w:vMerge w:val="restart"/>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Umorzenie - stan na początek roku obrotowego</w:t>
                  </w:r>
                </w:p>
              </w:tc>
              <w:tc>
                <w:tcPr>
                  <w:tcW w:w="1897" w:type="dxa"/>
                  <w:gridSpan w:val="7"/>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Zwiększenia w ciągu roku obrotowego</w:t>
                  </w:r>
                </w:p>
              </w:tc>
              <w:tc>
                <w:tcPr>
                  <w:tcW w:w="847"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Ogółem zwiększenie umorzenia (14+15+16)</w:t>
                  </w:r>
                </w:p>
              </w:tc>
              <w:tc>
                <w:tcPr>
                  <w:tcW w:w="407" w:type="dxa"/>
                  <w:gridSpan w:val="3"/>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Zmniejszenie umorzenia</w:t>
                  </w:r>
                </w:p>
              </w:tc>
              <w:tc>
                <w:tcPr>
                  <w:tcW w:w="984" w:type="dxa"/>
                  <w:gridSpan w:val="3"/>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Umorzenie - stan na koniec roku obrotowego                                                                                                 (13+17-18)</w:t>
                  </w:r>
                </w:p>
              </w:tc>
              <w:tc>
                <w:tcPr>
                  <w:tcW w:w="1828" w:type="dxa"/>
                  <w:gridSpan w:val="3"/>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Wartość netto składników aktywów</w:t>
                  </w:r>
                </w:p>
              </w:tc>
            </w:tr>
            <w:tr>
              <w:trPr>
                <w:trHeight w:val="1695" w:hRule="atLeast"/>
              </w:trPr>
              <w:tc>
                <w:tcPr>
                  <w:tcW w:w="321"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898"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05" w:type="dxa"/>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12" w:type="dxa"/>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Aktualizacja</w:t>
                  </w:r>
                </w:p>
              </w:tc>
              <w:tc>
                <w:tcPr>
                  <w:tcW w:w="683"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Przychody</w:t>
                  </w:r>
                </w:p>
              </w:tc>
              <w:tc>
                <w:tcPr>
                  <w:tcW w:w="459"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Przemieszczenie</w:t>
                  </w:r>
                </w:p>
              </w:tc>
              <w:tc>
                <w:tcPr>
                  <w:tcW w:w="860"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527"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Zbycie</w:t>
                  </w:r>
                </w:p>
              </w:tc>
              <w:tc>
                <w:tcPr>
                  <w:tcW w:w="746" w:type="dxa"/>
                  <w:gridSpan w:val="2"/>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Likwidacja</w:t>
                  </w:r>
                </w:p>
              </w:tc>
              <w:tc>
                <w:tcPr>
                  <w:tcW w:w="396" w:type="dxa"/>
                  <w:gridSpan w:val="2"/>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Inne</w:t>
                  </w:r>
                </w:p>
              </w:tc>
              <w:tc>
                <w:tcPr>
                  <w:tcW w:w="899"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05"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07" w:type="dxa"/>
                  <w:gridSpan w:val="2"/>
                  <w:vMerge w:val="continue"/>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396"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Aktualizacja</w:t>
                  </w:r>
                </w:p>
              </w:tc>
              <w:tc>
                <w:tcPr>
                  <w:tcW w:w="806" w:type="dxa"/>
                  <w:gridSpan w:val="2"/>
                  <w:tcBorders>
                    <w:left w:val="single" w:sz="4" w:space="0" w:color="000000"/>
                    <w:bottom w:val="single" w:sz="4" w:space="0" w:color="000000"/>
                    <w:right w:val="single" w:sz="4" w:space="0" w:color="000000"/>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Amortyzacja za rok obrotowy</w:t>
                  </w:r>
                </w:p>
              </w:tc>
              <w:tc>
                <w:tcPr>
                  <w:tcW w:w="691" w:type="dxa"/>
                  <w:gridSpan w:val="2"/>
                  <w:tcBorders/>
                  <w:shd w:color="auto" w:fill="auto" w:val="clear"/>
                  <w:textDirection w:val="btL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Inne</w:t>
                  </w:r>
                </w:p>
              </w:tc>
              <w:tc>
                <w:tcPr>
                  <w:tcW w:w="847" w:type="dxa"/>
                  <w:gridSpan w:val="3"/>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407" w:type="dxa"/>
                  <w:gridSpan w:val="3"/>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83" w:type="dxa"/>
                  <w:gridSpan w:val="3"/>
                  <w:tcBorders>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Arial" w:hAnsi="Arial" w:eastAsia="Times New Roman" w:cs="Calibri"/>
                      <w:color w:val="auto"/>
                      <w:sz w:val="24"/>
                      <w:szCs w:val="24"/>
                      <w:lang w:eastAsia="pl-PL"/>
                    </w:rPr>
                  </w:pPr>
                  <w:r>
                    <w:rPr>
                      <w:rFonts w:eastAsia="Times New Roman" w:cs="Calibri" w:ascii="Arial" w:hAnsi="Arial"/>
                      <w:color w:val="auto"/>
                      <w:sz w:val="24"/>
                      <w:szCs w:val="24"/>
                      <w:lang w:eastAsia="pl-PL"/>
                    </w:rPr>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Stan na początek roku obrotowego                                                                                                                                                                           (3-13)</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color w:val="000000"/>
                      <w:sz w:val="16"/>
                      <w:szCs w:val="16"/>
                      <w:lang w:eastAsia="pl-PL"/>
                    </w:rPr>
                  </w:pPr>
                  <w:r>
                    <w:rPr>
                      <w:rFonts w:eastAsia="Times New Roman" w:cs="Calibri" w:ascii="Arial" w:hAnsi="Arial"/>
                      <w:color w:val="auto"/>
                      <w:sz w:val="24"/>
                      <w:szCs w:val="24"/>
                      <w:lang w:eastAsia="pl-PL"/>
                    </w:rPr>
                    <w:t>Stan na koniec roku obrotowego                                                                                                                                                                          (12-19)</w:t>
                  </w:r>
                </w:p>
              </w:tc>
            </w:tr>
            <w:tr>
              <w:trPr>
                <w:trHeight w:val="199"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2</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3</w:t>
                  </w:r>
                </w:p>
              </w:tc>
              <w:tc>
                <w:tcPr>
                  <w:tcW w:w="412"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4</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5</w:t>
                  </w:r>
                </w:p>
              </w:tc>
              <w:tc>
                <w:tcPr>
                  <w:tcW w:w="459"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6</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7</w:t>
                  </w:r>
                </w:p>
              </w:tc>
              <w:tc>
                <w:tcPr>
                  <w:tcW w:w="527"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8</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9</w:t>
                  </w:r>
                </w:p>
              </w:tc>
              <w:tc>
                <w:tcPr>
                  <w:tcW w:w="39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11</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12</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13</w:t>
                  </w:r>
                </w:p>
              </w:tc>
              <w:tc>
                <w:tcPr>
                  <w:tcW w:w="396"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14</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15</w:t>
                  </w:r>
                </w:p>
              </w:tc>
              <w:tc>
                <w:tcPr>
                  <w:tcW w:w="691" w:type="dxa"/>
                  <w:gridSpan w:val="2"/>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16</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17</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18</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19</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20</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i/>
                      <w:i/>
                      <w:iCs/>
                      <w:color w:val="000000"/>
                      <w:sz w:val="16"/>
                      <w:szCs w:val="16"/>
                      <w:lang w:eastAsia="pl-PL"/>
                    </w:rPr>
                  </w:pPr>
                  <w:r>
                    <w:rPr>
                      <w:rFonts w:eastAsia="Times New Roman" w:cs="Calibri" w:ascii="Arial" w:hAnsi="Arial"/>
                      <w:i/>
                      <w:iCs/>
                      <w:color w:val="auto"/>
                      <w:sz w:val="24"/>
                      <w:szCs w:val="24"/>
                      <w:lang w:eastAsia="pl-PL"/>
                    </w:rPr>
                    <w:t>21</w:t>
                  </w:r>
                </w:p>
              </w:tc>
            </w:tr>
            <w:tr>
              <w:trPr>
                <w:trHeight w:val="1020"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1.</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Wartości niematerialne                          i prawne</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64 188,14</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64 188,14</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64 188,14</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w:hAnsi="Arial" w:cs="Calibri"/>
                      <w:b/>
                      <w:b/>
                      <w:bCs/>
                      <w:color w:val="auto"/>
                      <w:sz w:val="24"/>
                      <w:szCs w:val="24"/>
                    </w:rPr>
                  </w:pPr>
                  <w:r>
                    <w:rPr>
                      <w:rFonts w:cs="Calibri" w:ascii="Arial" w:hAnsi="Arial"/>
                      <w:b/>
                      <w:bCs/>
                      <w:color w:val="auto"/>
                      <w:sz w:val="24"/>
                      <w:szCs w:val="24"/>
                    </w:rPr>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64 188,14</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r>
            <w:tr>
              <w:trPr>
                <w:trHeight w:val="540"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2.</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b/>
                      <w:b/>
                      <w:bCs/>
                      <w:color w:val="000000"/>
                      <w:sz w:val="14"/>
                      <w:szCs w:val="14"/>
                      <w:lang w:eastAsia="pl-PL"/>
                    </w:rPr>
                  </w:pPr>
                  <w:r>
                    <w:rPr>
                      <w:rFonts w:eastAsia="Times New Roman" w:cs="Calibri" w:ascii="Arial" w:hAnsi="Arial"/>
                      <w:b/>
                      <w:bCs/>
                      <w:color w:val="auto"/>
                      <w:sz w:val="24"/>
                      <w:szCs w:val="24"/>
                      <w:lang w:eastAsia="pl-PL"/>
                    </w:rPr>
                    <w:t>Środki trwałe</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8 057 258,78</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8 057 258,78</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2 683 720,21</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148 573,27</w:t>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148 573,27</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0,00</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2 832 293,48</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5 373 538,57</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b/>
                      <w:b/>
                      <w:bCs/>
                      <w:color w:val="000000"/>
                      <w:sz w:val="16"/>
                      <w:szCs w:val="16"/>
                    </w:rPr>
                  </w:pPr>
                  <w:r>
                    <w:rPr>
                      <w:rFonts w:cs="Calibri" w:ascii="Arial" w:hAnsi="Arial"/>
                      <w:b/>
                      <w:bCs/>
                      <w:color w:val="auto"/>
                      <w:sz w:val="24"/>
                      <w:szCs w:val="24"/>
                    </w:rPr>
                    <w:t>5 224 965,30</w:t>
                  </w:r>
                </w:p>
              </w:tc>
            </w:tr>
            <w:tr>
              <w:trPr>
                <w:trHeight w:val="405"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1)</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grunty</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1 079 520,00</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1 079 520,00</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 </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 </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 </w:t>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 </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 </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1 079 520,00</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1 079 520,00</w:t>
                  </w:r>
                </w:p>
              </w:tc>
            </w:tr>
            <w:tr>
              <w:trPr>
                <w:trHeight w:val="1530"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2)</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budynki, lokale i obiekty inżynierii lądowej i wodnej</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6 081 220,91</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6 081 220,91</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1 797 637,84</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146 476,19</w:t>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146 476,19</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1 944 114,03</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4 283 583,07</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4 137 106,88</w:t>
                  </w:r>
                </w:p>
              </w:tc>
            </w:tr>
            <w:tr>
              <w:trPr>
                <w:trHeight w:val="1275"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3)</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urządzenia techniczne i maszyny</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422 364,04</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422 364,04</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411 928,54</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2 097,08</w:t>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2 097,08</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414 025,62</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10 435,50</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8 338,42</w:t>
                  </w:r>
                </w:p>
              </w:tc>
            </w:tr>
            <w:tr>
              <w:trPr>
                <w:trHeight w:val="510"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4)</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środki transportu</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314 953,83</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314 953,83</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314 953,83</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314 953,83</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r>
            <w:tr>
              <w:trPr>
                <w:trHeight w:val="765"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5)</w:t>
                  </w:r>
                </w:p>
              </w:tc>
              <w:tc>
                <w:tcPr>
                  <w:tcW w:w="898" w:type="dxa"/>
                  <w:tcBorders>
                    <w:bottom w:val="single" w:sz="4" w:space="0" w:color="000000"/>
                    <w:right w:val="single" w:sz="4" w:space="0" w:color="000000"/>
                  </w:tcBorders>
                  <w:shd w:color="auto" w:fill="auto" w:val="clear"/>
                  <w:vAlign w:val="center"/>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inne środki trwałe</w:t>
                  </w:r>
                </w:p>
              </w:tc>
              <w:tc>
                <w:tcPr>
                  <w:tcW w:w="905"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159 200,00</w:t>
                  </w:r>
                </w:p>
              </w:tc>
              <w:tc>
                <w:tcPr>
                  <w:tcW w:w="412"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83"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5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60"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52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74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99"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05"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159 200,00</w:t>
                  </w:r>
                </w:p>
              </w:tc>
              <w:tc>
                <w:tcPr>
                  <w:tcW w:w="907"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159 200,00</w:t>
                  </w:r>
                </w:p>
              </w:tc>
              <w:tc>
                <w:tcPr>
                  <w:tcW w:w="39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06"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691" w:type="dxa"/>
                  <w:gridSpan w:val="2"/>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84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407"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83" w:type="dxa"/>
                  <w:gridSpan w:val="3"/>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159 200,00</w:t>
                  </w:r>
                </w:p>
              </w:tc>
              <w:tc>
                <w:tcPr>
                  <w:tcW w:w="908" w:type="dxa"/>
                  <w:gridSpan w:val="4"/>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c>
                <w:tcPr>
                  <w:tcW w:w="926"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cs="Calibri"/>
                      <w:color w:val="000000"/>
                      <w:sz w:val="16"/>
                      <w:szCs w:val="16"/>
                    </w:rPr>
                  </w:pPr>
                  <w:r>
                    <w:rPr>
                      <w:rFonts w:cs="Calibri" w:ascii="Arial" w:hAnsi="Arial"/>
                      <w:color w:val="auto"/>
                      <w:sz w:val="24"/>
                      <w:szCs w:val="24"/>
                    </w:rPr>
                    <w:t>0,00</w:t>
                  </w:r>
                </w:p>
              </w:tc>
            </w:tr>
            <w:tr>
              <w:trPr>
                <w:trHeight w:val="330" w:hRule="atLeast"/>
              </w:trPr>
              <w:tc>
                <w:tcPr>
                  <w:tcW w:w="32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Arial Narrow" w:hAnsi="Arial Narrow" w:eastAsia="Times New Roman" w:cs="Calibri"/>
                      <w:b/>
                      <w:b/>
                      <w:bCs/>
                      <w:i/>
                      <w:i/>
                      <w:iCs/>
                      <w:color w:val="000000"/>
                      <w:sz w:val="14"/>
                      <w:szCs w:val="14"/>
                      <w:lang w:eastAsia="pl-PL"/>
                    </w:rPr>
                  </w:pPr>
                  <w:r>
                    <w:rPr>
                      <w:rFonts w:eastAsia="Times New Roman" w:cs="Calibri" w:ascii="Arial" w:hAnsi="Arial"/>
                      <w:b/>
                      <w:bCs/>
                      <w:i/>
                      <w:iCs/>
                      <w:color w:val="auto"/>
                      <w:sz w:val="24"/>
                      <w:szCs w:val="24"/>
                      <w:lang w:eastAsia="pl-PL"/>
                    </w:rPr>
                    <w:t> </w:t>
                  </w:r>
                </w:p>
              </w:tc>
              <w:tc>
                <w:tcPr>
                  <w:tcW w:w="898" w:type="dxa"/>
                  <w:tcBorders>
                    <w:bottom w:val="single" w:sz="4" w:space="0" w:color="000000"/>
                    <w:right w:val="single" w:sz="4" w:space="0" w:color="000000"/>
                  </w:tcBorders>
                  <w:shd w:color="auto" w:fill="auto" w:val="clear"/>
                  <w:vAlign w:val="bottom"/>
                </w:tcPr>
                <w:p>
                  <w:pPr>
                    <w:pStyle w:val="Normal"/>
                    <w:spacing w:lineRule="auto" w:line="240" w:before="0" w:after="0"/>
                    <w:rPr>
                      <w:rFonts w:ascii="Arial Narrow" w:hAnsi="Arial Narrow" w:eastAsia="Times New Roman" w:cs="Calibri"/>
                      <w:color w:val="000000"/>
                      <w:sz w:val="14"/>
                      <w:szCs w:val="14"/>
                      <w:lang w:eastAsia="pl-PL"/>
                    </w:rPr>
                  </w:pPr>
                  <w:r>
                    <w:rPr>
                      <w:rFonts w:eastAsia="Times New Roman" w:cs="Calibri" w:ascii="Arial" w:hAnsi="Arial"/>
                      <w:color w:val="auto"/>
                      <w:sz w:val="24"/>
                      <w:szCs w:val="24"/>
                      <w:lang w:eastAsia="pl-PL"/>
                    </w:rPr>
                    <w:t> </w:t>
                  </w:r>
                </w:p>
              </w:tc>
              <w:tc>
                <w:tcPr>
                  <w:tcW w:w="905"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8 121 446,92</w:t>
                  </w:r>
                </w:p>
              </w:tc>
              <w:tc>
                <w:tcPr>
                  <w:tcW w:w="412"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683"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459"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860"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 xml:space="preserve">           </w:t>
                  </w:r>
                  <w:r>
                    <w:rPr>
                      <w:rFonts w:cs="Calibri" w:ascii="Arial" w:hAnsi="Arial"/>
                      <w:b/>
                      <w:bCs/>
                      <w:color w:val="auto"/>
                      <w:sz w:val="24"/>
                      <w:szCs w:val="24"/>
                    </w:rPr>
                    <w:t>0,00</w:t>
                  </w:r>
                </w:p>
              </w:tc>
              <w:tc>
                <w:tcPr>
                  <w:tcW w:w="527"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746"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 xml:space="preserve">         </w:t>
                  </w:r>
                  <w:r>
                    <w:rPr>
                      <w:rFonts w:cs="Calibri" w:ascii="Arial" w:hAnsi="Arial"/>
                      <w:b/>
                      <w:bCs/>
                      <w:color w:val="auto"/>
                      <w:sz w:val="24"/>
                      <w:szCs w:val="24"/>
                    </w:rPr>
                    <w:t>0,00</w:t>
                  </w:r>
                </w:p>
              </w:tc>
              <w:tc>
                <w:tcPr>
                  <w:tcW w:w="396"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899"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 xml:space="preserve">             </w:t>
                  </w:r>
                  <w:r>
                    <w:rPr>
                      <w:rFonts w:cs="Calibri" w:ascii="Arial" w:hAnsi="Arial"/>
                      <w:b/>
                      <w:bCs/>
                      <w:color w:val="auto"/>
                      <w:sz w:val="24"/>
                      <w:szCs w:val="24"/>
                    </w:rPr>
                    <w:t>0,00</w:t>
                  </w:r>
                </w:p>
              </w:tc>
              <w:tc>
                <w:tcPr>
                  <w:tcW w:w="905"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8 121 446,92</w:t>
                  </w:r>
                </w:p>
              </w:tc>
              <w:tc>
                <w:tcPr>
                  <w:tcW w:w="907"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2 747 908,35</w:t>
                  </w:r>
                </w:p>
              </w:tc>
              <w:tc>
                <w:tcPr>
                  <w:tcW w:w="396"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806"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148 573,27</w:t>
                  </w:r>
                </w:p>
              </w:tc>
              <w:tc>
                <w:tcPr>
                  <w:tcW w:w="691" w:type="dxa"/>
                  <w:gridSpan w:val="2"/>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847"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148 573,27</w:t>
                  </w:r>
                </w:p>
              </w:tc>
              <w:tc>
                <w:tcPr>
                  <w:tcW w:w="407"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0,00</w:t>
                  </w:r>
                </w:p>
              </w:tc>
              <w:tc>
                <w:tcPr>
                  <w:tcW w:w="983" w:type="dxa"/>
                  <w:gridSpan w:val="3"/>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2 896 481,62</w:t>
                  </w:r>
                </w:p>
              </w:tc>
              <w:tc>
                <w:tcPr>
                  <w:tcW w:w="908" w:type="dxa"/>
                  <w:gridSpan w:val="4"/>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5 373 538,57</w:t>
                  </w:r>
                </w:p>
              </w:tc>
              <w:tc>
                <w:tcPr>
                  <w:tcW w:w="926" w:type="dxa"/>
                  <w:tcBorders>
                    <w:bottom w:val="single" w:sz="4" w:space="0" w:color="000000"/>
                    <w:right w:val="single" w:sz="4" w:space="0" w:color="000000"/>
                  </w:tcBorders>
                  <w:shd w:color="auto" w:fill="auto" w:val="clear"/>
                  <w:vAlign w:val="bottom"/>
                </w:tcPr>
                <w:p>
                  <w:pPr>
                    <w:pStyle w:val="Normal"/>
                    <w:spacing w:lineRule="auto" w:line="240" w:before="0" w:after="0"/>
                    <w:jc w:val="center"/>
                    <w:rPr>
                      <w:rFonts w:ascii="Arial Narrow" w:hAnsi="Arial Narrow" w:cs="Calibri"/>
                      <w:b/>
                      <w:b/>
                      <w:bCs/>
                      <w:color w:val="000000"/>
                      <w:sz w:val="16"/>
                      <w:szCs w:val="16"/>
                    </w:rPr>
                  </w:pPr>
                  <w:r>
                    <w:rPr>
                      <w:rFonts w:cs="Calibri" w:ascii="Arial" w:hAnsi="Arial"/>
                      <w:b/>
                      <w:bCs/>
                      <w:color w:val="auto"/>
                      <w:sz w:val="24"/>
                      <w:szCs w:val="24"/>
                    </w:rPr>
                    <w:t>5 224 965,30</w:t>
                  </w:r>
                </w:p>
              </w:tc>
            </w:tr>
          </w:tbl>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1.2</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aktualną</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wartość</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rynkową</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środków</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trwałych,</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w</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tym</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dóbr</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kultury</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o</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ile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jednostka</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dysponuje</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takimi</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informacjami</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1.3</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rPr>
                <w:rFonts w:cs="Calibri" w:cstheme="minorHAnsi"/>
              </w:rPr>
            </w:pPr>
            <w:r>
              <w:rPr>
                <w:rFonts w:cs="Calibri" w:ascii="Arial" w:hAnsi="Arial" w:cstheme="minorHAnsi"/>
                <w:color w:val="auto"/>
                <w:sz w:val="24"/>
                <w:szCs w:val="24"/>
              </w:rPr>
              <w:t>kwotę</w:t>
            </w:r>
            <w:r>
              <w:rPr>
                <w:rFonts w:cs="Calibri" w:ascii="Arial" w:hAnsi="Arial" w:cstheme="minorHAnsi"/>
                <w:color w:val="auto"/>
                <w:spacing w:val="-4"/>
                <w:sz w:val="24"/>
                <w:szCs w:val="24"/>
              </w:rPr>
              <w:t xml:space="preserve"> </w:t>
            </w:r>
            <w:r>
              <w:rPr>
                <w:rFonts w:cs="Calibri" w:ascii="Arial" w:hAnsi="Arial" w:cstheme="minorHAnsi"/>
                <w:color w:val="auto"/>
                <w:sz w:val="24"/>
                <w:szCs w:val="24"/>
              </w:rPr>
              <w:t>dokonanych</w:t>
            </w:r>
            <w:r>
              <w:rPr>
                <w:rFonts w:cs="Calibri" w:ascii="Arial" w:hAnsi="Arial" w:cstheme="minorHAnsi"/>
                <w:color w:val="auto"/>
                <w:spacing w:val="-4"/>
                <w:sz w:val="24"/>
                <w:szCs w:val="24"/>
              </w:rPr>
              <w:t xml:space="preserve"> </w:t>
            </w:r>
            <w:r>
              <w:rPr>
                <w:rFonts w:cs="Calibri" w:ascii="Arial" w:hAnsi="Arial" w:cstheme="minorHAnsi"/>
                <w:color w:val="auto"/>
                <w:sz w:val="24"/>
                <w:szCs w:val="24"/>
              </w:rPr>
              <w:t>w</w:t>
            </w:r>
            <w:r>
              <w:rPr>
                <w:rFonts w:cs="Calibri" w:ascii="Arial" w:hAnsi="Arial" w:cstheme="minorHAnsi"/>
                <w:color w:val="auto"/>
                <w:spacing w:val="-4"/>
                <w:sz w:val="24"/>
                <w:szCs w:val="24"/>
              </w:rPr>
              <w:t xml:space="preserve"> </w:t>
            </w:r>
            <w:r>
              <w:rPr>
                <w:rFonts w:cs="Calibri" w:ascii="Arial" w:hAnsi="Arial" w:cstheme="minorHAnsi"/>
                <w:color w:val="auto"/>
                <w:sz w:val="24"/>
                <w:szCs w:val="24"/>
              </w:rPr>
              <w:t>trakcie</w:t>
            </w:r>
            <w:r>
              <w:rPr>
                <w:rFonts w:cs="Calibri" w:ascii="Arial" w:hAnsi="Arial" w:cstheme="minorHAnsi"/>
                <w:color w:val="auto"/>
                <w:spacing w:val="-4"/>
                <w:sz w:val="24"/>
                <w:szCs w:val="24"/>
              </w:rPr>
              <w:t xml:space="preserve"> </w:t>
            </w:r>
            <w:r>
              <w:rPr>
                <w:rFonts w:cs="Calibri" w:ascii="Arial" w:hAnsi="Arial" w:cstheme="minorHAnsi"/>
                <w:color w:val="auto"/>
                <w:sz w:val="24"/>
                <w:szCs w:val="24"/>
              </w:rPr>
              <w:t>roku</w:t>
            </w:r>
            <w:r>
              <w:rPr>
                <w:rFonts w:cs="Calibri" w:ascii="Arial" w:hAnsi="Arial" w:cstheme="minorHAnsi"/>
                <w:color w:val="auto"/>
                <w:spacing w:val="-4"/>
                <w:sz w:val="24"/>
                <w:szCs w:val="24"/>
              </w:rPr>
              <w:t xml:space="preserve"> </w:t>
            </w:r>
            <w:r>
              <w:rPr>
                <w:rFonts w:cs="Calibri" w:ascii="Arial" w:hAnsi="Arial" w:cstheme="minorHAnsi"/>
                <w:color w:val="auto"/>
                <w:sz w:val="24"/>
                <w:szCs w:val="24"/>
              </w:rPr>
              <w:t>obrotowego</w:t>
            </w:r>
            <w:r>
              <w:rPr>
                <w:rFonts w:cs="Calibri" w:ascii="Arial" w:hAnsi="Arial" w:cstheme="minorHAnsi"/>
                <w:color w:val="auto"/>
                <w:spacing w:val="-4"/>
                <w:sz w:val="24"/>
                <w:szCs w:val="24"/>
              </w:rPr>
              <w:t xml:space="preserve"> </w:t>
            </w:r>
            <w:r>
              <w:rPr>
                <w:rFonts w:cs="Calibri" w:ascii="Arial" w:hAnsi="Arial" w:cstheme="minorHAnsi"/>
                <w:color w:val="auto"/>
                <w:sz w:val="24"/>
                <w:szCs w:val="24"/>
              </w:rPr>
              <w:t>odpisów</w:t>
            </w:r>
            <w:r>
              <w:rPr>
                <w:rFonts w:cs="Calibri" w:ascii="Arial" w:hAnsi="Arial" w:cstheme="minorHAnsi"/>
                <w:color w:val="auto"/>
                <w:spacing w:val="-4"/>
                <w:sz w:val="24"/>
                <w:szCs w:val="24"/>
              </w:rPr>
              <w:t xml:space="preserve"> </w:t>
            </w:r>
            <w:r>
              <w:rPr>
                <w:rFonts w:cs="Calibri" w:ascii="Arial" w:hAnsi="Arial" w:cstheme="minorHAnsi"/>
                <w:color w:val="auto"/>
                <w:sz w:val="24"/>
                <w:szCs w:val="24"/>
              </w:rPr>
              <w:t>aktualizujących</w:t>
            </w:r>
            <w:r>
              <w:rPr>
                <w:rFonts w:cs="Calibri" w:ascii="Arial" w:hAnsi="Arial" w:cstheme="minorHAnsi"/>
                <w:color w:val="auto"/>
                <w:spacing w:val="-4"/>
                <w:sz w:val="24"/>
                <w:szCs w:val="24"/>
              </w:rPr>
              <w:t xml:space="preserve"> </w:t>
            </w:r>
            <w:r>
              <w:rPr>
                <w:rFonts w:cs="Calibri" w:ascii="Arial" w:hAnsi="Arial" w:cstheme="minorHAnsi"/>
                <w:color w:val="auto"/>
                <w:sz w:val="24"/>
                <w:szCs w:val="24"/>
              </w:rPr>
              <w:t>wartość</w:t>
            </w:r>
            <w:r>
              <w:rPr>
                <w:rFonts w:cs="Calibri" w:ascii="Arial" w:hAnsi="Arial" w:cstheme="minorHAnsi"/>
                <w:color w:val="auto"/>
                <w:spacing w:val="-4"/>
                <w:sz w:val="24"/>
                <w:szCs w:val="24"/>
              </w:rPr>
              <w:t xml:space="preserve"> </w:t>
            </w:r>
            <w:r>
              <w:rPr>
                <w:rFonts w:cs="Calibri" w:ascii="Arial" w:hAnsi="Arial" w:cstheme="minorHAnsi"/>
                <w:color w:val="auto"/>
                <w:sz w:val="24"/>
                <w:szCs w:val="24"/>
              </w:rPr>
              <w:t>aktywów</w:t>
            </w:r>
            <w:r>
              <w:rPr>
                <w:rFonts w:cs="Calibri" w:ascii="Arial" w:hAnsi="Arial" w:cstheme="minorHAnsi"/>
                <w:color w:val="auto"/>
                <w:spacing w:val="-4"/>
                <w:sz w:val="24"/>
                <w:szCs w:val="24"/>
              </w:rPr>
              <w:t xml:space="preserve"> </w:t>
            </w:r>
            <w:r>
              <w:rPr>
                <w:rFonts w:cs="Calibri" w:ascii="Arial" w:hAnsi="Arial" w:cstheme="minorHAnsi"/>
                <w:color w:val="auto"/>
                <w:sz w:val="24"/>
                <w:szCs w:val="24"/>
              </w:rPr>
              <w:t>trwałych</w:t>
            </w:r>
            <w:r>
              <w:rPr>
                <w:rFonts w:cs="Calibri" w:ascii="Arial" w:hAnsi="Arial" w:cstheme="minorHAnsi"/>
                <w:color w:val="auto"/>
                <w:spacing w:val="-4"/>
                <w:sz w:val="24"/>
                <w:szCs w:val="24"/>
              </w:rPr>
              <w:t xml:space="preserve"> </w:t>
            </w:r>
            <w:r>
              <w:rPr>
                <w:rFonts w:cs="Calibri" w:ascii="Arial" w:hAnsi="Arial" w:cstheme="minorHAnsi"/>
                <w:color w:val="auto"/>
                <w:sz w:val="24"/>
                <w:szCs w:val="24"/>
              </w:rPr>
              <w:t>odrębnie</w:t>
            </w:r>
            <w:r>
              <w:rPr>
                <w:rFonts w:cs="Calibri" w:ascii="Arial" w:hAnsi="Arial" w:cstheme="minorHAnsi"/>
                <w:color w:val="auto"/>
                <w:spacing w:val="-4"/>
                <w:sz w:val="24"/>
                <w:szCs w:val="24"/>
              </w:rPr>
              <w:t xml:space="preserve"> </w:t>
            </w:r>
            <w:r>
              <w:rPr>
                <w:rFonts w:cs="Calibri" w:ascii="Arial" w:hAnsi="Arial" w:cstheme="minorHAnsi"/>
                <w:color w:val="auto"/>
                <w:sz w:val="24"/>
                <w:szCs w:val="24"/>
              </w:rPr>
              <w:t>dla długoterminowych aktywów niefinansowych oraz długoterminowych aktywów finansowych</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1.4</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color w:val="auto"/>
                <w:sz w:val="24"/>
                <w:szCs w:val="24"/>
              </w:rPr>
              <w:t>wartość gruntów użytkowanych wieczyście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1.5</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color w:val="auto"/>
                <w:sz w:val="24"/>
                <w:szCs w:val="24"/>
              </w:rPr>
              <w:t>wartość</w:t>
            </w:r>
            <w:r>
              <w:rPr>
                <w:rFonts w:cs="Calibri" w:ascii="Arial" w:hAnsi="Arial" w:cstheme="minorHAnsi"/>
                <w:color w:val="auto"/>
                <w:spacing w:val="20"/>
                <w:sz w:val="24"/>
                <w:szCs w:val="24"/>
              </w:rPr>
              <w:t xml:space="preserve"> </w:t>
            </w:r>
            <w:r>
              <w:rPr>
                <w:rFonts w:cs="Calibri" w:ascii="Arial" w:hAnsi="Arial" w:cstheme="minorHAnsi"/>
                <w:color w:val="auto"/>
                <w:sz w:val="24"/>
                <w:szCs w:val="24"/>
              </w:rPr>
              <w:t>nieamortyzowanych</w:t>
            </w:r>
            <w:r>
              <w:rPr>
                <w:rFonts w:cs="Calibri" w:ascii="Arial" w:hAnsi="Arial" w:cstheme="minorHAnsi"/>
                <w:color w:val="auto"/>
                <w:spacing w:val="20"/>
                <w:sz w:val="24"/>
                <w:szCs w:val="24"/>
              </w:rPr>
              <w:t xml:space="preserve"> </w:t>
            </w:r>
            <w:r>
              <w:rPr>
                <w:rFonts w:cs="Calibri" w:ascii="Arial" w:hAnsi="Arial" w:cstheme="minorHAnsi"/>
                <w:color w:val="auto"/>
                <w:sz w:val="24"/>
                <w:szCs w:val="24"/>
              </w:rPr>
              <w:t>lub</w:t>
            </w:r>
            <w:r>
              <w:rPr>
                <w:rFonts w:cs="Calibri" w:ascii="Arial" w:hAnsi="Arial" w:cstheme="minorHAnsi"/>
                <w:color w:val="auto"/>
                <w:spacing w:val="20"/>
                <w:sz w:val="24"/>
                <w:szCs w:val="24"/>
              </w:rPr>
              <w:t xml:space="preserve"> </w:t>
            </w:r>
            <w:r>
              <w:rPr>
                <w:rFonts w:cs="Calibri" w:ascii="Arial" w:hAnsi="Arial" w:cstheme="minorHAnsi"/>
                <w:color w:val="auto"/>
                <w:sz w:val="24"/>
                <w:szCs w:val="24"/>
              </w:rPr>
              <w:t>nieumarzanych</w:t>
            </w:r>
            <w:r>
              <w:rPr>
                <w:rFonts w:cs="Calibri" w:ascii="Arial" w:hAnsi="Arial" w:cstheme="minorHAnsi"/>
                <w:color w:val="auto"/>
                <w:spacing w:val="19"/>
                <w:sz w:val="24"/>
                <w:szCs w:val="24"/>
              </w:rPr>
              <w:t xml:space="preserve"> </w:t>
            </w:r>
            <w:r>
              <w:rPr>
                <w:rFonts w:cs="Calibri" w:ascii="Arial" w:hAnsi="Arial" w:cstheme="minorHAnsi"/>
                <w:color w:val="auto"/>
                <w:sz w:val="24"/>
                <w:szCs w:val="24"/>
              </w:rPr>
              <w:t>przez</w:t>
            </w:r>
            <w:r>
              <w:rPr>
                <w:rFonts w:cs="Calibri" w:ascii="Arial" w:hAnsi="Arial" w:cstheme="minorHAnsi"/>
                <w:color w:val="auto"/>
                <w:spacing w:val="19"/>
                <w:sz w:val="24"/>
                <w:szCs w:val="24"/>
              </w:rPr>
              <w:t xml:space="preserve"> </w:t>
            </w:r>
            <w:r>
              <w:rPr>
                <w:rFonts w:cs="Calibri" w:ascii="Arial" w:hAnsi="Arial" w:cstheme="minorHAnsi"/>
                <w:color w:val="auto"/>
                <w:sz w:val="24"/>
                <w:szCs w:val="24"/>
              </w:rPr>
              <w:t>jednostkę</w:t>
            </w:r>
            <w:r>
              <w:rPr>
                <w:rFonts w:cs="Calibri" w:ascii="Arial" w:hAnsi="Arial" w:cstheme="minorHAnsi"/>
                <w:color w:val="auto"/>
                <w:spacing w:val="19"/>
                <w:sz w:val="24"/>
                <w:szCs w:val="24"/>
              </w:rPr>
              <w:t xml:space="preserve"> </w:t>
            </w:r>
            <w:r>
              <w:rPr>
                <w:rFonts w:cs="Calibri" w:ascii="Arial" w:hAnsi="Arial" w:cstheme="minorHAnsi"/>
                <w:color w:val="auto"/>
                <w:sz w:val="24"/>
                <w:szCs w:val="24"/>
              </w:rPr>
              <w:t>środków</w:t>
            </w:r>
            <w:r>
              <w:rPr>
                <w:rFonts w:cs="Calibri" w:ascii="Arial" w:hAnsi="Arial" w:cstheme="minorHAnsi"/>
                <w:color w:val="auto"/>
                <w:spacing w:val="20"/>
                <w:sz w:val="24"/>
                <w:szCs w:val="24"/>
              </w:rPr>
              <w:t xml:space="preserve"> </w:t>
            </w:r>
            <w:r>
              <w:rPr>
                <w:rFonts w:cs="Calibri" w:ascii="Arial" w:hAnsi="Arial" w:cstheme="minorHAnsi"/>
                <w:color w:val="auto"/>
                <w:sz w:val="24"/>
                <w:szCs w:val="24"/>
              </w:rPr>
              <w:t>trwałych,</w:t>
            </w:r>
            <w:r>
              <w:rPr>
                <w:rFonts w:cs="Calibri" w:ascii="Arial" w:hAnsi="Arial" w:cstheme="minorHAnsi"/>
                <w:color w:val="auto"/>
                <w:spacing w:val="19"/>
                <w:sz w:val="24"/>
                <w:szCs w:val="24"/>
              </w:rPr>
              <w:t xml:space="preserve"> </w:t>
            </w:r>
            <w:r>
              <w:rPr>
                <w:rFonts w:cs="Calibri" w:ascii="Arial" w:hAnsi="Arial" w:cstheme="minorHAnsi"/>
                <w:color w:val="auto"/>
                <w:sz w:val="24"/>
                <w:szCs w:val="24"/>
              </w:rPr>
              <w:t>używanych</w:t>
            </w:r>
            <w:r>
              <w:rPr>
                <w:rFonts w:cs="Calibri" w:ascii="Arial" w:hAnsi="Arial" w:cstheme="minorHAnsi"/>
                <w:color w:val="auto"/>
                <w:spacing w:val="20"/>
                <w:sz w:val="24"/>
                <w:szCs w:val="24"/>
              </w:rPr>
              <w:t xml:space="preserve"> </w:t>
            </w:r>
            <w:r>
              <w:rPr>
                <w:rFonts w:cs="Calibri" w:ascii="Arial" w:hAnsi="Arial" w:cstheme="minorHAnsi"/>
                <w:color w:val="auto"/>
                <w:sz w:val="24"/>
                <w:szCs w:val="24"/>
              </w:rPr>
              <w:t>na</w:t>
            </w:r>
            <w:r>
              <w:rPr>
                <w:rFonts w:cs="Calibri" w:ascii="Arial" w:hAnsi="Arial" w:cstheme="minorHAnsi"/>
                <w:color w:val="auto"/>
                <w:spacing w:val="20"/>
                <w:sz w:val="24"/>
                <w:szCs w:val="24"/>
              </w:rPr>
              <w:t xml:space="preserve"> </w:t>
            </w:r>
            <w:r>
              <w:rPr>
                <w:rFonts w:cs="Calibri" w:ascii="Arial" w:hAnsi="Arial" w:cstheme="minorHAnsi"/>
                <w:color w:val="auto"/>
                <w:sz w:val="24"/>
                <w:szCs w:val="24"/>
              </w:rPr>
              <w:t>podstawie umów najmu, dzierżawy i innych umów, w tym z tytułu umów leasingu</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1.6.</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rPr>
                <w:rFonts w:cs="Calibri" w:cstheme="minorHAnsi"/>
              </w:rPr>
            </w:pPr>
            <w:r>
              <w:rPr>
                <w:rFonts w:cs="Calibri" w:ascii="Arial" w:hAnsi="Arial" w:cstheme="minorHAnsi"/>
                <w:color w:val="auto"/>
                <w:sz w:val="24"/>
                <w:szCs w:val="24"/>
              </w:rPr>
              <w:t>liczbę</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oraz</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wartość</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posiadanych</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papierów</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wartościowych,</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w</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tym</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akcji</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i</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udziałów</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oraz</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dłużnych</w:t>
            </w:r>
            <w:r>
              <w:rPr>
                <w:rFonts w:cs="Calibri" w:ascii="Arial" w:hAnsi="Arial" w:cstheme="minorHAnsi"/>
                <w:color w:val="auto"/>
                <w:spacing w:val="32"/>
                <w:sz w:val="24"/>
                <w:szCs w:val="24"/>
              </w:rPr>
              <w:t xml:space="preserve"> </w:t>
            </w:r>
            <w:r>
              <w:rPr>
                <w:rFonts w:cs="Calibri" w:ascii="Arial" w:hAnsi="Arial" w:cstheme="minorHAnsi"/>
                <w:color w:val="auto"/>
                <w:sz w:val="24"/>
                <w:szCs w:val="24"/>
              </w:rPr>
              <w:t>papierów wartościowych</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1.7.</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6" w:after="160"/>
              <w:ind w:right="40" w:hanging="0"/>
              <w:jc w:val="both"/>
              <w:rPr>
                <w:rFonts w:cs="Calibri" w:cstheme="minorHAnsi"/>
              </w:rPr>
            </w:pPr>
            <w:r>
              <w:rPr>
                <w:rFonts w:cs="Calibri" w:ascii="Arial" w:hAnsi="Arial" w:cstheme="minorHAnsi"/>
                <w:color w:val="auto"/>
                <w:sz w:val="24"/>
                <w:szCs w:val="24"/>
              </w:rPr>
              <w:t>dane o</w:t>
            </w:r>
            <w:r>
              <w:rPr>
                <w:rFonts w:cs="Calibri" w:ascii="Arial" w:hAnsi="Arial" w:cstheme="minorHAnsi"/>
                <w:color w:val="auto"/>
                <w:spacing w:val="1"/>
                <w:sz w:val="24"/>
                <w:szCs w:val="24"/>
              </w:rPr>
              <w:t xml:space="preserve"> </w:t>
            </w:r>
            <w:r>
              <w:rPr>
                <w:rFonts w:cs="Calibri" w:ascii="Arial" w:hAnsi="Arial" w:cstheme="minorHAnsi"/>
                <w:color w:val="auto"/>
                <w:sz w:val="24"/>
                <w:szCs w:val="24"/>
              </w:rPr>
              <w:t>odpisach</w:t>
            </w:r>
            <w:r>
              <w:rPr>
                <w:rFonts w:cs="Calibri" w:ascii="Arial" w:hAnsi="Arial" w:cstheme="minorHAnsi"/>
                <w:color w:val="auto"/>
                <w:spacing w:val="1"/>
                <w:sz w:val="24"/>
                <w:szCs w:val="24"/>
              </w:rPr>
              <w:t xml:space="preserve"> </w:t>
            </w:r>
            <w:r>
              <w:rPr>
                <w:rFonts w:cs="Calibri" w:ascii="Arial" w:hAnsi="Arial" w:cstheme="minorHAnsi"/>
                <w:color w:val="auto"/>
                <w:sz w:val="24"/>
                <w:szCs w:val="24"/>
              </w:rPr>
              <w:t>aktualizujących wartość należności, ze wskazaniem stanu na początek roku</w:t>
            </w:r>
            <w:r>
              <w:rPr>
                <w:rFonts w:cs="Calibri" w:ascii="Arial" w:hAnsi="Arial" w:cstheme="minorHAnsi"/>
                <w:color w:val="auto"/>
                <w:spacing w:val="1"/>
                <w:sz w:val="24"/>
                <w:szCs w:val="24"/>
              </w:rPr>
              <w:t xml:space="preserve"> </w:t>
            </w:r>
            <w:r>
              <w:rPr>
                <w:rFonts w:cs="Calibri" w:ascii="Arial" w:hAnsi="Arial" w:cstheme="minorHAnsi"/>
                <w:color w:val="auto"/>
                <w:sz w:val="24"/>
                <w:szCs w:val="24"/>
              </w:rPr>
              <w:t>obrotowego, zwiększeniach, wykorzystaniu, rozwiązaniu i stanie na koniec roku obrotowego, z uwzględnieniem należności finansowych jednostek samorządu terytorialnego (stan pożyczek zagrożonych)</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1.8.</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6" w:after="160"/>
              <w:ind w:right="40" w:hanging="0"/>
              <w:rPr>
                <w:rFonts w:cs="Calibri" w:cstheme="minorHAnsi"/>
              </w:rPr>
            </w:pPr>
            <w:r>
              <w:rPr>
                <w:rFonts w:cs="Calibri" w:ascii="Arial" w:hAnsi="Arial" w:cstheme="minorHAnsi"/>
                <w:color w:val="auto"/>
                <w:sz w:val="24"/>
                <w:szCs w:val="24"/>
              </w:rPr>
              <w:t>dane</w:t>
            </w:r>
            <w:r>
              <w:rPr>
                <w:rFonts w:cs="Calibri" w:ascii="Arial" w:hAnsi="Arial" w:cstheme="minorHAnsi"/>
                <w:color w:val="auto"/>
                <w:spacing w:val="4"/>
                <w:sz w:val="24"/>
                <w:szCs w:val="24"/>
              </w:rPr>
              <w:t xml:space="preserve"> </w:t>
            </w:r>
            <w:r>
              <w:rPr>
                <w:rFonts w:cs="Calibri" w:ascii="Arial" w:hAnsi="Arial" w:cstheme="minorHAnsi"/>
                <w:color w:val="auto"/>
                <w:sz w:val="24"/>
                <w:szCs w:val="24"/>
              </w:rPr>
              <w:t>o</w:t>
            </w:r>
            <w:r>
              <w:rPr>
                <w:rFonts w:cs="Calibri" w:ascii="Arial" w:hAnsi="Arial" w:cstheme="minorHAnsi"/>
                <w:color w:val="auto"/>
                <w:spacing w:val="4"/>
                <w:sz w:val="24"/>
                <w:szCs w:val="24"/>
              </w:rPr>
              <w:t xml:space="preserve"> </w:t>
            </w:r>
            <w:r>
              <w:rPr>
                <w:rFonts w:cs="Calibri" w:ascii="Arial" w:hAnsi="Arial" w:cstheme="minorHAnsi"/>
                <w:color w:val="auto"/>
                <w:sz w:val="24"/>
                <w:szCs w:val="24"/>
              </w:rPr>
              <w:t>stanie</w:t>
            </w:r>
            <w:r>
              <w:rPr>
                <w:rFonts w:cs="Calibri" w:ascii="Arial" w:hAnsi="Arial" w:cstheme="minorHAnsi"/>
                <w:color w:val="auto"/>
                <w:spacing w:val="4"/>
                <w:sz w:val="24"/>
                <w:szCs w:val="24"/>
              </w:rPr>
              <w:t xml:space="preserve"> </w:t>
            </w:r>
            <w:r>
              <w:rPr>
                <w:rFonts w:cs="Calibri" w:ascii="Arial" w:hAnsi="Arial" w:cstheme="minorHAnsi"/>
                <w:color w:val="auto"/>
                <w:sz w:val="24"/>
                <w:szCs w:val="24"/>
              </w:rPr>
              <w:t>rezerw</w:t>
            </w:r>
            <w:r>
              <w:rPr>
                <w:rFonts w:cs="Calibri" w:ascii="Arial" w:hAnsi="Arial" w:cstheme="minorHAnsi"/>
                <w:color w:val="auto"/>
                <w:spacing w:val="4"/>
                <w:sz w:val="24"/>
                <w:szCs w:val="24"/>
              </w:rPr>
              <w:t xml:space="preserve"> </w:t>
            </w:r>
            <w:r>
              <w:rPr>
                <w:rFonts w:cs="Calibri" w:ascii="Arial" w:hAnsi="Arial" w:cstheme="minorHAnsi"/>
                <w:color w:val="auto"/>
                <w:sz w:val="24"/>
                <w:szCs w:val="24"/>
              </w:rPr>
              <w:t>według</w:t>
            </w:r>
            <w:r>
              <w:rPr>
                <w:rFonts w:cs="Calibri" w:ascii="Arial" w:hAnsi="Arial" w:cstheme="minorHAnsi"/>
                <w:color w:val="auto"/>
                <w:spacing w:val="4"/>
                <w:sz w:val="24"/>
                <w:szCs w:val="24"/>
              </w:rPr>
              <w:t xml:space="preserve"> </w:t>
            </w:r>
            <w:r>
              <w:rPr>
                <w:rFonts w:cs="Calibri" w:ascii="Arial" w:hAnsi="Arial" w:cstheme="minorHAnsi"/>
                <w:color w:val="auto"/>
                <w:sz w:val="24"/>
                <w:szCs w:val="24"/>
              </w:rPr>
              <w:t>celu</w:t>
            </w:r>
            <w:r>
              <w:rPr>
                <w:rFonts w:cs="Calibri" w:ascii="Arial" w:hAnsi="Arial" w:cstheme="minorHAnsi"/>
                <w:color w:val="auto"/>
                <w:spacing w:val="4"/>
                <w:sz w:val="24"/>
                <w:szCs w:val="24"/>
              </w:rPr>
              <w:t xml:space="preserve"> </w:t>
            </w:r>
            <w:r>
              <w:rPr>
                <w:rFonts w:cs="Calibri" w:ascii="Arial" w:hAnsi="Arial" w:cstheme="minorHAnsi"/>
                <w:color w:val="auto"/>
                <w:sz w:val="24"/>
                <w:szCs w:val="24"/>
              </w:rPr>
              <w:t>ich</w:t>
            </w:r>
            <w:r>
              <w:rPr>
                <w:rFonts w:cs="Calibri" w:ascii="Arial" w:hAnsi="Arial" w:cstheme="minorHAnsi"/>
                <w:color w:val="auto"/>
                <w:spacing w:val="4"/>
                <w:sz w:val="24"/>
                <w:szCs w:val="24"/>
              </w:rPr>
              <w:t xml:space="preserve"> </w:t>
            </w:r>
            <w:r>
              <w:rPr>
                <w:rFonts w:cs="Calibri" w:ascii="Arial" w:hAnsi="Arial" w:cstheme="minorHAnsi"/>
                <w:color w:val="auto"/>
                <w:sz w:val="24"/>
                <w:szCs w:val="24"/>
              </w:rPr>
              <w:t>utworzenia</w:t>
            </w:r>
            <w:r>
              <w:rPr>
                <w:rFonts w:cs="Calibri" w:ascii="Arial" w:hAnsi="Arial" w:cstheme="minorHAnsi"/>
                <w:color w:val="auto"/>
                <w:spacing w:val="4"/>
                <w:sz w:val="24"/>
                <w:szCs w:val="24"/>
              </w:rPr>
              <w:t xml:space="preserve"> </w:t>
            </w:r>
            <w:r>
              <w:rPr>
                <w:rFonts w:cs="Calibri" w:ascii="Arial" w:hAnsi="Arial" w:cstheme="minorHAnsi"/>
                <w:color w:val="auto"/>
                <w:sz w:val="24"/>
                <w:szCs w:val="24"/>
              </w:rPr>
              <w:t>na</w:t>
            </w:r>
            <w:r>
              <w:rPr>
                <w:rFonts w:cs="Calibri" w:ascii="Arial" w:hAnsi="Arial" w:cstheme="minorHAnsi"/>
                <w:color w:val="auto"/>
                <w:spacing w:val="4"/>
                <w:sz w:val="24"/>
                <w:szCs w:val="24"/>
              </w:rPr>
              <w:t xml:space="preserve"> </w:t>
            </w:r>
            <w:r>
              <w:rPr>
                <w:rFonts w:cs="Calibri" w:ascii="Arial" w:hAnsi="Arial" w:cstheme="minorHAnsi"/>
                <w:color w:val="auto"/>
                <w:sz w:val="24"/>
                <w:szCs w:val="24"/>
              </w:rPr>
              <w:t>początek</w:t>
            </w:r>
            <w:r>
              <w:rPr>
                <w:rFonts w:cs="Calibri" w:ascii="Arial" w:hAnsi="Arial" w:cstheme="minorHAnsi"/>
                <w:color w:val="auto"/>
                <w:spacing w:val="4"/>
                <w:sz w:val="24"/>
                <w:szCs w:val="24"/>
              </w:rPr>
              <w:t xml:space="preserve"> </w:t>
            </w:r>
            <w:r>
              <w:rPr>
                <w:rFonts w:cs="Calibri" w:ascii="Arial" w:hAnsi="Arial" w:cstheme="minorHAnsi"/>
                <w:color w:val="auto"/>
                <w:sz w:val="24"/>
                <w:szCs w:val="24"/>
              </w:rPr>
              <w:t>roku</w:t>
            </w:r>
            <w:r>
              <w:rPr>
                <w:rFonts w:cs="Calibri" w:ascii="Arial" w:hAnsi="Arial" w:cstheme="minorHAnsi"/>
                <w:color w:val="auto"/>
                <w:spacing w:val="4"/>
                <w:sz w:val="24"/>
                <w:szCs w:val="24"/>
              </w:rPr>
              <w:t xml:space="preserve"> </w:t>
            </w:r>
            <w:r>
              <w:rPr>
                <w:rFonts w:cs="Calibri" w:ascii="Arial" w:hAnsi="Arial" w:cstheme="minorHAnsi"/>
                <w:color w:val="auto"/>
                <w:sz w:val="24"/>
                <w:szCs w:val="24"/>
              </w:rPr>
              <w:t>obrotowego,</w:t>
            </w:r>
            <w:r>
              <w:rPr>
                <w:rFonts w:cs="Calibri" w:ascii="Arial" w:hAnsi="Arial" w:cstheme="minorHAnsi"/>
                <w:color w:val="auto"/>
                <w:spacing w:val="4"/>
                <w:sz w:val="24"/>
                <w:szCs w:val="24"/>
              </w:rPr>
              <w:t xml:space="preserve"> </w:t>
            </w:r>
            <w:r>
              <w:rPr>
                <w:rFonts w:cs="Calibri" w:ascii="Arial" w:hAnsi="Arial" w:cstheme="minorHAnsi"/>
                <w:color w:val="auto"/>
                <w:sz w:val="24"/>
                <w:szCs w:val="24"/>
              </w:rPr>
              <w:t>zwiększeniach,</w:t>
            </w:r>
            <w:r>
              <w:rPr>
                <w:rFonts w:cs="Calibri" w:ascii="Arial" w:hAnsi="Arial" w:cstheme="minorHAnsi"/>
                <w:color w:val="auto"/>
                <w:spacing w:val="4"/>
                <w:sz w:val="24"/>
                <w:szCs w:val="24"/>
              </w:rPr>
              <w:t xml:space="preserve"> </w:t>
            </w:r>
            <w:r>
              <w:rPr>
                <w:rFonts w:cs="Calibri" w:ascii="Arial" w:hAnsi="Arial" w:cstheme="minorHAnsi"/>
                <w:color w:val="auto"/>
                <w:sz w:val="24"/>
                <w:szCs w:val="24"/>
              </w:rPr>
              <w:t>wykorzystaniu, rozwiązaniu i stanie końcowym</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1.9.</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6" w:after="160"/>
              <w:ind w:right="40" w:hanging="0"/>
              <w:jc w:val="both"/>
              <w:rPr>
                <w:rFonts w:cs="Calibri" w:cstheme="minorHAnsi"/>
              </w:rPr>
            </w:pPr>
            <w:r>
              <w:rPr>
                <w:rFonts w:cs="Calibri" w:ascii="Arial" w:hAnsi="Arial" w:cstheme="minorHAnsi"/>
                <w:color w:val="auto"/>
                <w:sz w:val="24"/>
                <w:szCs w:val="24"/>
              </w:rPr>
              <w:t xml:space="preserve">podział  </w:t>
            </w:r>
            <w:r>
              <w:rPr>
                <w:rFonts w:cs="Calibri" w:ascii="Arial" w:hAnsi="Arial" w:cstheme="minorHAnsi"/>
                <w:color w:val="auto"/>
                <w:spacing w:val="3"/>
                <w:sz w:val="24"/>
                <w:szCs w:val="24"/>
              </w:rPr>
              <w:t xml:space="preserve"> </w:t>
            </w:r>
            <w:r>
              <w:rPr>
                <w:rFonts w:cs="Calibri" w:ascii="Arial" w:hAnsi="Arial" w:cstheme="minorHAnsi"/>
                <w:color w:val="auto"/>
                <w:sz w:val="24"/>
                <w:szCs w:val="24"/>
              </w:rPr>
              <w:t xml:space="preserve">zobowiązań  </w:t>
            </w:r>
            <w:r>
              <w:rPr>
                <w:rFonts w:cs="Calibri" w:ascii="Arial" w:hAnsi="Arial" w:cstheme="minorHAnsi"/>
                <w:color w:val="auto"/>
                <w:spacing w:val="3"/>
                <w:sz w:val="24"/>
                <w:szCs w:val="24"/>
              </w:rPr>
              <w:t xml:space="preserve"> </w:t>
            </w:r>
            <w:r>
              <w:rPr>
                <w:rFonts w:cs="Calibri" w:ascii="Arial" w:hAnsi="Arial" w:cstheme="minorHAnsi"/>
                <w:color w:val="auto"/>
                <w:sz w:val="24"/>
                <w:szCs w:val="24"/>
              </w:rPr>
              <w:t xml:space="preserve">długoterminowych  o  </w:t>
            </w:r>
            <w:r>
              <w:rPr>
                <w:rFonts w:cs="Calibri" w:ascii="Arial" w:hAnsi="Arial" w:cstheme="minorHAnsi"/>
                <w:color w:val="auto"/>
                <w:spacing w:val="3"/>
                <w:sz w:val="24"/>
                <w:szCs w:val="24"/>
              </w:rPr>
              <w:t xml:space="preserve"> </w:t>
            </w:r>
            <w:r>
              <w:rPr>
                <w:rFonts w:cs="Calibri" w:ascii="Arial" w:hAnsi="Arial" w:cstheme="minorHAnsi"/>
                <w:color w:val="auto"/>
                <w:sz w:val="24"/>
                <w:szCs w:val="24"/>
              </w:rPr>
              <w:t xml:space="preserve">pozostałym  </w:t>
            </w:r>
            <w:r>
              <w:rPr>
                <w:rFonts w:cs="Calibri" w:ascii="Arial" w:hAnsi="Arial" w:cstheme="minorHAnsi"/>
                <w:color w:val="auto"/>
                <w:spacing w:val="3"/>
                <w:sz w:val="24"/>
                <w:szCs w:val="24"/>
              </w:rPr>
              <w:t xml:space="preserve"> </w:t>
            </w:r>
            <w:r>
              <w:rPr>
                <w:rFonts w:cs="Calibri" w:ascii="Arial" w:hAnsi="Arial" w:cstheme="minorHAnsi"/>
                <w:color w:val="auto"/>
                <w:sz w:val="24"/>
                <w:szCs w:val="24"/>
              </w:rPr>
              <w:t xml:space="preserve">od  </w:t>
            </w:r>
            <w:r>
              <w:rPr>
                <w:rFonts w:cs="Calibri" w:ascii="Arial" w:hAnsi="Arial" w:cstheme="minorHAnsi"/>
                <w:color w:val="auto"/>
                <w:spacing w:val="3"/>
                <w:sz w:val="24"/>
                <w:szCs w:val="24"/>
              </w:rPr>
              <w:t xml:space="preserve"> </w:t>
            </w:r>
            <w:r>
              <w:rPr>
                <w:rFonts w:cs="Calibri" w:ascii="Arial" w:hAnsi="Arial" w:cstheme="minorHAnsi"/>
                <w:color w:val="auto"/>
                <w:sz w:val="24"/>
                <w:szCs w:val="24"/>
              </w:rPr>
              <w:t xml:space="preserve">dnia  </w:t>
            </w:r>
            <w:r>
              <w:rPr>
                <w:rFonts w:cs="Calibri" w:ascii="Arial" w:hAnsi="Arial" w:cstheme="minorHAnsi"/>
                <w:color w:val="auto"/>
                <w:spacing w:val="3"/>
                <w:sz w:val="24"/>
                <w:szCs w:val="24"/>
              </w:rPr>
              <w:t xml:space="preserve"> </w:t>
            </w:r>
            <w:r>
              <w:rPr>
                <w:rFonts w:cs="Calibri" w:ascii="Arial" w:hAnsi="Arial" w:cstheme="minorHAnsi"/>
                <w:color w:val="auto"/>
                <w:sz w:val="24"/>
                <w:szCs w:val="24"/>
              </w:rPr>
              <w:t>bilansowego, przewidywanym umową lub wynikającym z innego tytułu prawnego, okresie spłaty: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a)</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powyżej 1 roku do 3 lat</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b)</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powyżej 3 do 5 lat</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rHeight w:val="384" w:hRule="atLeast"/>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c)</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powyżej 5 lat</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1.10.</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jc w:val="both"/>
              <w:rPr>
                <w:rFonts w:cs="Calibri" w:cstheme="minorHAnsi"/>
              </w:rPr>
            </w:pPr>
            <w:r>
              <w:rPr>
                <w:rFonts w:cs="Calibri" w:ascii="Arial" w:hAnsi="Arial" w:cstheme="minorHAnsi"/>
                <w:color w:val="auto"/>
                <w:sz w:val="24"/>
                <w:szCs w:val="24"/>
              </w:rPr>
              <w:t>kwotę</w:t>
            </w:r>
            <w:r>
              <w:rPr>
                <w:rFonts w:cs="Calibri" w:ascii="Arial" w:hAnsi="Arial" w:cstheme="minorHAnsi"/>
                <w:color w:val="auto"/>
                <w:spacing w:val="1"/>
                <w:sz w:val="24"/>
                <w:szCs w:val="24"/>
              </w:rPr>
              <w:t xml:space="preserve"> </w:t>
            </w:r>
            <w:r>
              <w:rPr>
                <w:rFonts w:cs="Calibri" w:ascii="Arial" w:hAnsi="Arial" w:cstheme="minorHAnsi"/>
                <w:color w:val="auto"/>
                <w:sz w:val="24"/>
                <w:szCs w:val="24"/>
              </w:rPr>
              <w:t>zobowiązań</w:t>
            </w:r>
            <w:r>
              <w:rPr>
                <w:rFonts w:cs="Calibri" w:ascii="Arial" w:hAnsi="Arial" w:cstheme="minorHAnsi"/>
                <w:color w:val="auto"/>
                <w:spacing w:val="1"/>
                <w:sz w:val="24"/>
                <w:szCs w:val="24"/>
              </w:rPr>
              <w:t xml:space="preserve"> </w:t>
            </w:r>
            <w:r>
              <w:rPr>
                <w:rFonts w:cs="Calibri" w:ascii="Arial" w:hAnsi="Arial" w:cstheme="minorHAnsi"/>
                <w:color w:val="auto"/>
                <w:sz w:val="24"/>
                <w:szCs w:val="24"/>
              </w:rPr>
              <w:t>w</w:t>
            </w:r>
            <w:r>
              <w:rPr>
                <w:rFonts w:cs="Calibri" w:ascii="Arial" w:hAnsi="Arial" w:cstheme="minorHAnsi"/>
                <w:color w:val="auto"/>
                <w:spacing w:val="1"/>
                <w:sz w:val="24"/>
                <w:szCs w:val="24"/>
              </w:rPr>
              <w:t xml:space="preserve"> </w:t>
            </w:r>
            <w:r>
              <w:rPr>
                <w:rFonts w:cs="Calibri" w:ascii="Arial" w:hAnsi="Arial" w:cstheme="minorHAnsi"/>
                <w:color w:val="auto"/>
                <w:sz w:val="24"/>
                <w:szCs w:val="24"/>
              </w:rPr>
              <w:t>sytuacji</w:t>
            </w:r>
            <w:r>
              <w:rPr>
                <w:rFonts w:cs="Calibri" w:ascii="Arial" w:hAnsi="Arial" w:cstheme="minorHAnsi"/>
                <w:color w:val="auto"/>
                <w:spacing w:val="1"/>
                <w:sz w:val="24"/>
                <w:szCs w:val="24"/>
              </w:rPr>
              <w:t xml:space="preserve"> </w:t>
            </w:r>
            <w:r>
              <w:rPr>
                <w:rFonts w:cs="Calibri" w:ascii="Arial" w:hAnsi="Arial" w:cstheme="minorHAnsi"/>
                <w:color w:val="auto"/>
                <w:sz w:val="24"/>
                <w:szCs w:val="24"/>
              </w:rPr>
              <w:t>gdy</w:t>
            </w:r>
            <w:r>
              <w:rPr>
                <w:rFonts w:cs="Calibri" w:ascii="Arial" w:hAnsi="Arial" w:cstheme="minorHAnsi"/>
                <w:color w:val="auto"/>
                <w:spacing w:val="1"/>
                <w:sz w:val="24"/>
                <w:szCs w:val="24"/>
              </w:rPr>
              <w:t xml:space="preserve"> </w:t>
            </w:r>
            <w:r>
              <w:rPr>
                <w:rFonts w:cs="Calibri" w:ascii="Arial" w:hAnsi="Arial" w:cstheme="minorHAnsi"/>
                <w:color w:val="auto"/>
                <w:sz w:val="24"/>
                <w:szCs w:val="24"/>
              </w:rPr>
              <w:t>jednostka</w:t>
            </w:r>
            <w:r>
              <w:rPr>
                <w:rFonts w:cs="Calibri" w:ascii="Arial" w:hAnsi="Arial" w:cstheme="minorHAnsi"/>
                <w:color w:val="auto"/>
                <w:spacing w:val="1"/>
                <w:sz w:val="24"/>
                <w:szCs w:val="24"/>
              </w:rPr>
              <w:t xml:space="preserve"> </w:t>
            </w:r>
            <w:r>
              <w:rPr>
                <w:rFonts w:cs="Calibri" w:ascii="Arial" w:hAnsi="Arial" w:cstheme="minorHAnsi"/>
                <w:color w:val="auto"/>
                <w:sz w:val="24"/>
                <w:szCs w:val="24"/>
              </w:rPr>
              <w:t>kwalifikuje umowy</w:t>
            </w:r>
            <w:r>
              <w:rPr>
                <w:rFonts w:cs="Calibri" w:ascii="Arial" w:hAnsi="Arial" w:cstheme="minorHAnsi"/>
                <w:color w:val="auto"/>
                <w:spacing w:val="1"/>
                <w:sz w:val="24"/>
                <w:szCs w:val="24"/>
              </w:rPr>
              <w:t xml:space="preserve"> </w:t>
            </w:r>
            <w:r>
              <w:rPr>
                <w:rFonts w:cs="Calibri" w:ascii="Arial" w:hAnsi="Arial" w:cstheme="minorHAnsi"/>
                <w:color w:val="auto"/>
                <w:sz w:val="24"/>
                <w:szCs w:val="24"/>
              </w:rPr>
              <w:t>leasingu</w:t>
            </w:r>
            <w:r>
              <w:rPr>
                <w:rFonts w:cs="Calibri" w:ascii="Arial" w:hAnsi="Arial" w:cstheme="minorHAnsi"/>
                <w:color w:val="auto"/>
                <w:spacing w:val="1"/>
                <w:sz w:val="24"/>
                <w:szCs w:val="24"/>
              </w:rPr>
              <w:t xml:space="preserve"> </w:t>
            </w:r>
            <w:r>
              <w:rPr>
                <w:rFonts w:cs="Calibri" w:ascii="Arial" w:hAnsi="Arial" w:cstheme="minorHAnsi"/>
                <w:color w:val="auto"/>
                <w:sz w:val="24"/>
                <w:szCs w:val="24"/>
              </w:rPr>
              <w:t>zgodnie</w:t>
            </w:r>
            <w:r>
              <w:rPr>
                <w:rFonts w:cs="Calibri" w:ascii="Arial" w:hAnsi="Arial" w:cstheme="minorHAnsi"/>
                <w:color w:val="auto"/>
                <w:spacing w:val="1"/>
                <w:sz w:val="24"/>
                <w:szCs w:val="24"/>
              </w:rPr>
              <w:t xml:space="preserve"> </w:t>
            </w:r>
            <w:r>
              <w:rPr>
                <w:rFonts w:cs="Calibri" w:ascii="Arial" w:hAnsi="Arial" w:cstheme="minorHAnsi"/>
                <w:color w:val="auto"/>
                <w:sz w:val="24"/>
                <w:szCs w:val="24"/>
              </w:rPr>
              <w:t>z</w:t>
            </w:r>
            <w:r>
              <w:rPr>
                <w:rFonts w:cs="Calibri" w:ascii="Arial" w:hAnsi="Arial" w:cstheme="minorHAnsi"/>
                <w:color w:val="auto"/>
                <w:spacing w:val="1"/>
                <w:sz w:val="24"/>
                <w:szCs w:val="24"/>
              </w:rPr>
              <w:t xml:space="preserve"> </w:t>
            </w:r>
            <w:r>
              <w:rPr>
                <w:rFonts w:cs="Calibri" w:ascii="Arial" w:hAnsi="Arial" w:cstheme="minorHAnsi"/>
                <w:color w:val="auto"/>
                <w:sz w:val="24"/>
                <w:szCs w:val="24"/>
              </w:rPr>
              <w:t>przepisami podatkowymi (leasing</w:t>
            </w:r>
            <w:r>
              <w:rPr>
                <w:rFonts w:cs="Calibri" w:ascii="Arial" w:hAnsi="Arial" w:cstheme="minorHAnsi"/>
                <w:color w:val="auto"/>
                <w:spacing w:val="-2"/>
                <w:sz w:val="24"/>
                <w:szCs w:val="24"/>
              </w:rPr>
              <w:t xml:space="preserve"> </w:t>
            </w:r>
            <w:r>
              <w:rPr>
                <w:rFonts w:cs="Calibri" w:ascii="Arial" w:hAnsi="Arial" w:cstheme="minorHAnsi"/>
                <w:color w:val="auto"/>
                <w:sz w:val="24"/>
                <w:szCs w:val="24"/>
              </w:rPr>
              <w:t>operacyjny),</w:t>
            </w:r>
            <w:r>
              <w:rPr>
                <w:rFonts w:cs="Calibri" w:ascii="Arial" w:hAnsi="Arial" w:cstheme="minorHAnsi"/>
                <w:color w:val="auto"/>
                <w:spacing w:val="-2"/>
                <w:sz w:val="24"/>
                <w:szCs w:val="24"/>
              </w:rPr>
              <w:t xml:space="preserve"> </w:t>
            </w:r>
            <w:r>
              <w:rPr>
                <w:rFonts w:cs="Calibri" w:ascii="Arial" w:hAnsi="Arial" w:cstheme="minorHAnsi"/>
                <w:color w:val="auto"/>
                <w:sz w:val="24"/>
                <w:szCs w:val="24"/>
              </w:rPr>
              <w:t>a</w:t>
            </w:r>
            <w:r>
              <w:rPr>
                <w:rFonts w:cs="Calibri" w:ascii="Arial" w:hAnsi="Arial" w:cstheme="minorHAnsi"/>
                <w:color w:val="auto"/>
                <w:spacing w:val="-2"/>
                <w:sz w:val="24"/>
                <w:szCs w:val="24"/>
              </w:rPr>
              <w:t xml:space="preserve"> </w:t>
            </w:r>
            <w:r>
              <w:rPr>
                <w:rFonts w:cs="Calibri" w:ascii="Arial" w:hAnsi="Arial" w:cstheme="minorHAnsi"/>
                <w:color w:val="auto"/>
                <w:sz w:val="24"/>
                <w:szCs w:val="24"/>
              </w:rPr>
              <w:t>według</w:t>
            </w:r>
            <w:r>
              <w:rPr>
                <w:rFonts w:cs="Calibri" w:ascii="Arial" w:hAnsi="Arial" w:cstheme="minorHAnsi"/>
                <w:color w:val="auto"/>
                <w:spacing w:val="-2"/>
                <w:sz w:val="24"/>
                <w:szCs w:val="24"/>
              </w:rPr>
              <w:t xml:space="preserve"> </w:t>
            </w:r>
            <w:r>
              <w:rPr>
                <w:rFonts w:cs="Calibri" w:ascii="Arial" w:hAnsi="Arial" w:cstheme="minorHAnsi"/>
                <w:color w:val="auto"/>
                <w:sz w:val="24"/>
                <w:szCs w:val="24"/>
              </w:rPr>
              <w:t>przepisów</w:t>
            </w:r>
            <w:r>
              <w:rPr>
                <w:rFonts w:cs="Calibri" w:ascii="Arial" w:hAnsi="Arial" w:cstheme="minorHAnsi"/>
                <w:color w:val="auto"/>
                <w:spacing w:val="-2"/>
                <w:sz w:val="24"/>
                <w:szCs w:val="24"/>
              </w:rPr>
              <w:t xml:space="preserve"> </w:t>
            </w:r>
            <w:r>
              <w:rPr>
                <w:rFonts w:cs="Calibri" w:ascii="Arial" w:hAnsi="Arial" w:cstheme="minorHAnsi"/>
                <w:color w:val="auto"/>
                <w:sz w:val="24"/>
                <w:szCs w:val="24"/>
              </w:rPr>
              <w:t>o</w:t>
            </w:r>
            <w:r>
              <w:rPr>
                <w:rFonts w:cs="Calibri" w:ascii="Arial" w:hAnsi="Arial" w:cstheme="minorHAnsi"/>
                <w:color w:val="auto"/>
                <w:spacing w:val="-2"/>
                <w:sz w:val="24"/>
                <w:szCs w:val="24"/>
              </w:rPr>
              <w:t xml:space="preserve"> </w:t>
            </w:r>
            <w:r>
              <w:rPr>
                <w:rFonts w:cs="Calibri" w:ascii="Arial" w:hAnsi="Arial" w:cstheme="minorHAnsi"/>
                <w:color w:val="auto"/>
                <w:sz w:val="24"/>
                <w:szCs w:val="24"/>
              </w:rPr>
              <w:t>rachunkowości</w:t>
            </w:r>
            <w:r>
              <w:rPr>
                <w:rFonts w:cs="Calibri" w:ascii="Arial" w:hAnsi="Arial" w:cstheme="minorHAnsi"/>
                <w:color w:val="auto"/>
                <w:spacing w:val="-2"/>
                <w:sz w:val="24"/>
                <w:szCs w:val="24"/>
              </w:rPr>
              <w:t xml:space="preserve"> </w:t>
            </w:r>
            <w:r>
              <w:rPr>
                <w:rFonts w:cs="Calibri" w:ascii="Arial" w:hAnsi="Arial" w:cstheme="minorHAnsi"/>
                <w:color w:val="auto"/>
                <w:sz w:val="24"/>
                <w:szCs w:val="24"/>
              </w:rPr>
              <w:t>byłby</w:t>
            </w:r>
            <w:r>
              <w:rPr>
                <w:rFonts w:cs="Calibri" w:ascii="Arial" w:hAnsi="Arial" w:cstheme="minorHAnsi"/>
                <w:color w:val="auto"/>
                <w:spacing w:val="-2"/>
                <w:sz w:val="24"/>
                <w:szCs w:val="24"/>
              </w:rPr>
              <w:t xml:space="preserve"> </w:t>
            </w:r>
            <w:r>
              <w:rPr>
                <w:rFonts w:cs="Calibri" w:ascii="Arial" w:hAnsi="Arial" w:cstheme="minorHAnsi"/>
                <w:color w:val="auto"/>
                <w:sz w:val="24"/>
                <w:szCs w:val="24"/>
              </w:rPr>
              <w:t>to</w:t>
            </w:r>
            <w:r>
              <w:rPr>
                <w:rFonts w:cs="Calibri" w:ascii="Arial" w:hAnsi="Arial" w:cstheme="minorHAnsi"/>
                <w:color w:val="auto"/>
                <w:spacing w:val="-2"/>
                <w:sz w:val="24"/>
                <w:szCs w:val="24"/>
              </w:rPr>
              <w:t xml:space="preserve"> </w:t>
            </w:r>
            <w:r>
              <w:rPr>
                <w:rFonts w:cs="Calibri" w:ascii="Arial" w:hAnsi="Arial" w:cstheme="minorHAnsi"/>
                <w:color w:val="auto"/>
                <w:sz w:val="24"/>
                <w:szCs w:val="24"/>
              </w:rPr>
              <w:t>leasing</w:t>
            </w:r>
            <w:r>
              <w:rPr>
                <w:rFonts w:cs="Calibri" w:ascii="Arial" w:hAnsi="Arial" w:cstheme="minorHAnsi"/>
                <w:color w:val="auto"/>
                <w:spacing w:val="-2"/>
                <w:sz w:val="24"/>
                <w:szCs w:val="24"/>
              </w:rPr>
              <w:t xml:space="preserve"> </w:t>
            </w:r>
            <w:r>
              <w:rPr>
                <w:rFonts w:cs="Calibri" w:ascii="Arial" w:hAnsi="Arial" w:cstheme="minorHAnsi"/>
                <w:color w:val="auto"/>
                <w:sz w:val="24"/>
                <w:szCs w:val="24"/>
              </w:rPr>
              <w:t>finansowy</w:t>
            </w:r>
            <w:r>
              <w:rPr>
                <w:rFonts w:cs="Calibri" w:ascii="Arial" w:hAnsi="Arial" w:cstheme="minorHAnsi"/>
                <w:color w:val="auto"/>
                <w:spacing w:val="-2"/>
                <w:sz w:val="24"/>
                <w:szCs w:val="24"/>
              </w:rPr>
              <w:t xml:space="preserve"> </w:t>
            </w:r>
            <w:r>
              <w:rPr>
                <w:rFonts w:cs="Calibri" w:ascii="Arial" w:hAnsi="Arial" w:cstheme="minorHAnsi"/>
                <w:color w:val="auto"/>
                <w:sz w:val="24"/>
                <w:szCs w:val="24"/>
              </w:rPr>
              <w:t>lub</w:t>
            </w:r>
            <w:r>
              <w:rPr>
                <w:rFonts w:cs="Calibri" w:ascii="Arial" w:hAnsi="Arial" w:cstheme="minorHAnsi"/>
                <w:color w:val="auto"/>
                <w:spacing w:val="-2"/>
                <w:sz w:val="24"/>
                <w:szCs w:val="24"/>
              </w:rPr>
              <w:t xml:space="preserve"> </w:t>
            </w:r>
            <w:r>
              <w:rPr>
                <w:rFonts w:cs="Calibri" w:ascii="Arial" w:hAnsi="Arial" w:cstheme="minorHAnsi"/>
                <w:color w:val="auto"/>
                <w:sz w:val="24"/>
                <w:szCs w:val="24"/>
              </w:rPr>
              <w:t>zwrotny</w:t>
            </w:r>
            <w:r>
              <w:rPr>
                <w:rFonts w:cs="Calibri" w:ascii="Arial" w:hAnsi="Arial" w:cstheme="minorHAnsi"/>
                <w:color w:val="auto"/>
                <w:spacing w:val="-2"/>
                <w:sz w:val="24"/>
                <w:szCs w:val="24"/>
              </w:rPr>
              <w:t xml:space="preserve"> </w:t>
            </w:r>
            <w:r>
              <w:rPr>
                <w:rFonts w:cs="Calibri" w:ascii="Arial" w:hAnsi="Arial" w:cstheme="minorHAnsi"/>
                <w:color w:val="auto"/>
                <w:sz w:val="24"/>
                <w:szCs w:val="24"/>
              </w:rPr>
              <w:t>z</w:t>
            </w:r>
            <w:r>
              <w:rPr>
                <w:rFonts w:cs="Calibri" w:ascii="Arial" w:hAnsi="Arial" w:cstheme="minorHAnsi"/>
                <w:color w:val="auto"/>
                <w:spacing w:val="-2"/>
                <w:sz w:val="24"/>
                <w:szCs w:val="24"/>
              </w:rPr>
              <w:t xml:space="preserve"> </w:t>
            </w:r>
            <w:r>
              <w:rPr>
                <w:rFonts w:cs="Calibri" w:ascii="Arial" w:hAnsi="Arial" w:cstheme="minorHAnsi"/>
                <w:color w:val="auto"/>
                <w:sz w:val="24"/>
                <w:szCs w:val="24"/>
              </w:rPr>
              <w:t>podziałem na kwotę zobowiązań z tytułu leasingu finansowego lub leasingu zwrotnego</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1.11.</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rPr>
                <w:rFonts w:cs="Calibri" w:cstheme="minorHAnsi"/>
              </w:rPr>
            </w:pPr>
            <w:r>
              <w:rPr>
                <w:rFonts w:cs="Calibri" w:ascii="Arial" w:hAnsi="Arial" w:cstheme="minorHAnsi"/>
                <w:color w:val="auto"/>
                <w:sz w:val="24"/>
                <w:szCs w:val="24"/>
              </w:rPr>
              <w:t>łączną</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kwotę</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zobowiązań</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zabezpieczonych</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na</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majątku</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jednostki</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ze</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wskazaniem</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charakteru</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i</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formy</w:t>
            </w:r>
            <w:r>
              <w:rPr>
                <w:rFonts w:cs="Calibri" w:ascii="Arial" w:hAnsi="Arial" w:cstheme="minorHAnsi"/>
                <w:color w:val="auto"/>
                <w:spacing w:val="48"/>
                <w:sz w:val="24"/>
                <w:szCs w:val="24"/>
              </w:rPr>
              <w:t xml:space="preserve"> </w:t>
            </w:r>
            <w:r>
              <w:rPr>
                <w:rFonts w:cs="Calibri" w:ascii="Arial" w:hAnsi="Arial" w:cstheme="minorHAnsi"/>
                <w:color w:val="auto"/>
                <w:sz w:val="24"/>
                <w:szCs w:val="24"/>
              </w:rPr>
              <w:t>tych zabezpieczeń</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1.12.</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jc w:val="both"/>
              <w:rPr>
                <w:rFonts w:cs="Calibri" w:cstheme="minorHAnsi"/>
              </w:rPr>
            </w:pPr>
            <w:r>
              <w:rPr>
                <w:rFonts w:cs="Calibri" w:ascii="Arial" w:hAnsi="Arial" w:cstheme="minorHAnsi"/>
                <w:color w:val="auto"/>
                <w:sz w:val="24"/>
                <w:szCs w:val="24"/>
              </w:rPr>
              <w:t>łączną kwotę zobowiązań warunkowych, w tym również udzielonych przez jednostkę gwarancji i poręczeń, także wekslowych, niewykazanych w</w:t>
            </w:r>
            <w:r>
              <w:rPr>
                <w:rFonts w:cs="Calibri" w:ascii="Arial" w:hAnsi="Arial" w:cstheme="minorHAnsi"/>
                <w:color w:val="auto"/>
                <w:spacing w:val="1"/>
                <w:sz w:val="24"/>
                <w:szCs w:val="24"/>
              </w:rPr>
              <w:t xml:space="preserve"> </w:t>
            </w:r>
            <w:r>
              <w:rPr>
                <w:rFonts w:cs="Calibri" w:ascii="Arial" w:hAnsi="Arial" w:cstheme="minorHAnsi"/>
                <w:color w:val="auto"/>
                <w:sz w:val="24"/>
                <w:szCs w:val="24"/>
              </w:rPr>
              <w:t>bilansie, ze wskazaniem zobowiązań zabezpieczonych na majątku jednostki oraz charakteru i formy tych zabezpieczeń</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1.13.</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jc w:val="both"/>
              <w:rPr>
                <w:rFonts w:cs="Calibri" w:cstheme="minorHAnsi"/>
              </w:rPr>
            </w:pPr>
            <w:r>
              <w:rPr>
                <w:rFonts w:cs="Calibri" w:ascii="Arial" w:hAnsi="Arial" w:cstheme="minorHAnsi"/>
                <w:color w:val="auto"/>
                <w:sz w:val="24"/>
                <w:szCs w:val="24"/>
              </w:rPr>
              <w:t>wykaz istotnych pozycji czynnych i biernych rozliczeń międzyokresowych, w tym kwotę czynnych rozliczeń międzyokresowych kosztów stanowiących różnicę między wartością otrzymanych finansowych składników aktywów a zobowiązaniem zapłaty za nie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1.14.</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łączną kwotę otrzymanych przez jednostkę gwarancji i poręczeń niewykazanych w bilansie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1.15.</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kwotę wypłaconych środków pieniężnych na świadczenia pracownicze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left="77" w:hanging="77"/>
              <w:rPr>
                <w:rFonts w:cs="Calibri" w:cstheme="minorHAnsi"/>
              </w:rPr>
            </w:pPr>
            <w:r>
              <w:rPr>
                <w:rFonts w:cs="Calibri" w:ascii="Arial" w:hAnsi="Arial" w:cstheme="minorHAnsi"/>
                <w:color w:val="auto"/>
                <w:sz w:val="24"/>
                <w:szCs w:val="24"/>
              </w:rPr>
              <w:t>155.387,67</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sz w:val="20"/>
                <w:szCs w:val="20"/>
              </w:rPr>
            </w:pPr>
            <w:r>
              <w:rPr>
                <w:rFonts w:cs="Calibri" w:ascii="Arial" w:hAnsi="Arial" w:cstheme="minorHAnsi"/>
                <w:color w:val="auto"/>
                <w:sz w:val="24"/>
                <w:szCs w:val="24"/>
              </w:rPr>
              <w:t>1.16.</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inne informacje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p>
            <w:pPr>
              <w:pStyle w:val="Normal"/>
              <w:spacing w:lineRule="auto" w:line="240" w:before="0" w:after="0"/>
              <w:rPr>
                <w:rFonts w:cs="Calibri" w:cstheme="minorHAnsi"/>
                <w:color w:val="FF0000"/>
              </w:rPr>
            </w:pPr>
            <w:r>
              <w:rPr>
                <w:rFonts w:cs="Calibri" w:ascii="Arial" w:hAnsi="Arial" w:cstheme="minorHAnsi"/>
                <w:color w:val="auto"/>
                <w:sz w:val="24"/>
                <w:szCs w:val="24"/>
              </w:rPr>
              <w:t>W 2024 roku umorzenie pozostałych środków trwałych wynosi 2.220.973,99 umorzenie zbiorów bibliotecznych 310.093,69</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rPr>
            </w:pPr>
            <w:r>
              <w:rPr>
                <w:rFonts w:cs="Calibri" w:ascii="Arial" w:hAnsi="Arial" w:cstheme="minorHAnsi"/>
                <w:color w:val="auto"/>
                <w:sz w:val="24"/>
                <w:szCs w:val="24"/>
              </w:rPr>
              <w:t>2.</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2.1.</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wysokość odpisów aktualizujących wartość zapasów</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2.2.</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rPr>
                <w:rFonts w:cs="Calibri" w:cstheme="minorHAnsi"/>
              </w:rPr>
            </w:pPr>
            <w:r>
              <w:rPr>
                <w:rFonts w:cs="Calibri" w:ascii="Arial" w:hAnsi="Arial" w:cstheme="minorHAnsi"/>
                <w:color w:val="auto"/>
                <w:sz w:val="24"/>
                <w:szCs w:val="24"/>
              </w:rPr>
              <w:t>koszt wytworzenia środków trwałych w budowie, w tym odsetki oraz różnice kursowe, które powiększyły koszt wytworzenia środków trwałych w budowie w roku obrotowym</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wystąpił</w:t>
            </w:r>
          </w:p>
        </w:tc>
      </w:tr>
      <w:tr>
        <w:trPr>
          <w:trHeight w:val="418" w:hRule="atLeast"/>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7" w:after="160"/>
              <w:ind w:right="-20" w:hanging="0"/>
              <w:rPr>
                <w:rFonts w:cs="Calibri" w:cstheme="minorHAnsi"/>
              </w:rPr>
            </w:pPr>
            <w:r>
              <w:rPr>
                <w:rFonts w:cs="Calibri" w:ascii="Arial" w:hAnsi="Arial" w:cstheme="minorHAnsi"/>
                <w:color w:val="auto"/>
                <w:sz w:val="24"/>
                <w:szCs w:val="24"/>
              </w:rPr>
              <w:t>2.3.</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7" w:after="160"/>
              <w:ind w:right="40" w:hanging="0"/>
              <w:rPr>
                <w:rFonts w:cs="Calibri" w:cstheme="minorHAnsi"/>
              </w:rPr>
            </w:pPr>
            <w:r>
              <w:rPr>
                <w:rFonts w:cs="Calibri" w:ascii="Arial" w:hAnsi="Arial" w:cstheme="minorHAnsi"/>
                <w:color w:val="auto"/>
                <w:sz w:val="24"/>
                <w:szCs w:val="24"/>
              </w:rPr>
              <w:t>kwotę</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i</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charakter</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poszczególnych</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pozycji</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przychodów</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lub</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kosztów</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o</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nadzwyczajnej</w:t>
            </w:r>
            <w:r>
              <w:rPr>
                <w:rFonts w:cs="Calibri" w:ascii="Arial" w:hAnsi="Arial" w:cstheme="minorHAnsi"/>
                <w:color w:val="auto"/>
                <w:spacing w:val="-13"/>
                <w:sz w:val="24"/>
                <w:szCs w:val="24"/>
              </w:rPr>
              <w:t xml:space="preserve"> </w:t>
            </w:r>
            <w:r>
              <w:rPr>
                <w:rFonts w:cs="Calibri" w:ascii="Arial" w:hAnsi="Arial" w:cstheme="minorHAnsi"/>
                <w:color w:val="auto"/>
                <w:sz w:val="24"/>
                <w:szCs w:val="24"/>
              </w:rPr>
              <w:t>wartości</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lub</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które</w:t>
            </w:r>
            <w:r>
              <w:rPr>
                <w:rFonts w:cs="Calibri" w:ascii="Arial" w:hAnsi="Arial" w:cstheme="minorHAnsi"/>
                <w:color w:val="auto"/>
                <w:spacing w:val="-12"/>
                <w:sz w:val="24"/>
                <w:szCs w:val="24"/>
              </w:rPr>
              <w:t xml:space="preserve"> </w:t>
            </w:r>
            <w:r>
              <w:rPr>
                <w:rFonts w:cs="Calibri" w:ascii="Arial" w:hAnsi="Arial" w:cstheme="minorHAnsi"/>
                <w:color w:val="auto"/>
                <w:sz w:val="24"/>
                <w:szCs w:val="24"/>
              </w:rPr>
              <w:t xml:space="preserve">wystąpiły incydentalnie </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color w:val="auto"/>
                <w:sz w:val="24"/>
                <w:szCs w:val="24"/>
              </w:rPr>
              <w:t>107.471,83 Fundusz Pomocy Ukrainie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2.4.</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6" w:after="160"/>
              <w:ind w:right="40" w:hanging="0"/>
              <w:jc w:val="both"/>
              <w:rPr>
                <w:rFonts w:cs="Calibri" w:cstheme="minorHAnsi"/>
              </w:rPr>
            </w:pPr>
            <w:r>
              <w:rPr>
                <w:rFonts w:cs="Calibri" w:ascii="Arial" w:hAnsi="Arial" w:cstheme="minorHAnsi"/>
                <w:color w:val="auto"/>
                <w:sz w:val="24"/>
                <w:szCs w:val="24"/>
              </w:rPr>
              <w:t>informację o kwocie należności z tytułu podatków realizowanych przez organy podatkowe podległe ministrowi właściwemu do spraw finansów publicznych wykazywanych w sprawozdaniu z wykonania planu dochodów budżetowych</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cs="Calibri" w:cstheme="minorHAnsi"/>
                <w:b/>
                <w:b/>
              </w:rPr>
            </w:pPr>
            <w:r>
              <w:rPr>
                <w:rFonts w:cs="Calibri" w:ascii="Arial" w:hAnsi="Arial" w:cstheme="minorHAnsi"/>
                <w:b/>
                <w:color w:val="auto"/>
                <w:sz w:val="24"/>
                <w:szCs w:val="24"/>
              </w:rPr>
              <w:t xml:space="preserve"> </w:t>
            </w:r>
            <w:r>
              <w:rPr>
                <w:rFonts w:cs="Calibri" w:ascii="Arial" w:hAnsi="Arial" w:cstheme="minorHAnsi"/>
                <w:color w:val="auto"/>
                <w:sz w:val="24"/>
                <w:szCs w:val="24"/>
              </w:rPr>
              <w:t>nie dotyczy</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2.5.</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inne informacje</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46" w:after="160"/>
              <w:ind w:right="-20" w:hanging="0"/>
              <w:rPr>
                <w:rFonts w:cs="Calibri" w:cstheme="minorHAnsi"/>
              </w:rPr>
            </w:pPr>
            <w:r>
              <w:rPr>
                <w:rFonts w:cs="Calibri" w:ascii="Arial" w:hAnsi="Arial" w:cstheme="minorHAnsi"/>
                <w:color w:val="auto"/>
                <w:sz w:val="24"/>
                <w:szCs w:val="24"/>
              </w:rPr>
              <w:t>3.</w:t>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7" w:before="46" w:after="160"/>
              <w:ind w:right="40" w:hanging="0"/>
              <w:rPr>
                <w:rFonts w:cs="Calibri" w:cstheme="minorHAnsi"/>
              </w:rPr>
            </w:pPr>
            <w:r>
              <w:rPr>
                <w:rFonts w:cs="Calibri" w:ascii="Arial" w:hAnsi="Arial" w:cstheme="minorHAnsi"/>
                <w:color w:val="auto"/>
                <w:sz w:val="24"/>
                <w:szCs w:val="24"/>
              </w:rPr>
              <w:t>Inne</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informacje</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niż</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wymienione</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powyżej,</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jeżeli</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mogłyby</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w</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istotny</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sposób</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wpłynąć</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na</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ocenę</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sytuacji</w:t>
            </w:r>
            <w:r>
              <w:rPr>
                <w:rFonts w:cs="Calibri" w:ascii="Arial" w:hAnsi="Arial" w:cstheme="minorHAnsi"/>
                <w:color w:val="auto"/>
                <w:spacing w:val="-14"/>
                <w:sz w:val="24"/>
                <w:szCs w:val="24"/>
              </w:rPr>
              <w:t xml:space="preserve"> </w:t>
            </w:r>
            <w:r>
              <w:rPr>
                <w:rFonts w:cs="Calibri" w:ascii="Arial" w:hAnsi="Arial" w:cstheme="minorHAnsi"/>
                <w:color w:val="auto"/>
                <w:sz w:val="24"/>
                <w:szCs w:val="24"/>
              </w:rPr>
              <w:t>majątkowej i finansowej oraz wynik finansowy jednostki</w:t>
            </w:r>
          </w:p>
        </w:tc>
      </w:tr>
      <w:tr>
        <w:trPr/>
        <w:tc>
          <w:tcPr>
            <w:tcW w:w="59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color w:val="auto"/>
                <w:sz w:val="24"/>
                <w:szCs w:val="24"/>
              </w:rPr>
            </w:pPr>
            <w:r>
              <w:rPr>
                <w:rFonts w:cs="Calibri" w:cstheme="minorHAnsi" w:ascii="Arial" w:hAnsi="Arial"/>
                <w:color w:val="auto"/>
                <w:sz w:val="24"/>
                <w:szCs w:val="24"/>
              </w:rPr>
            </w:r>
          </w:p>
        </w:tc>
        <w:tc>
          <w:tcPr>
            <w:tcW w:w="151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rPr>
                <w:rFonts w:ascii="Arial" w:hAnsi="Arial" w:cs="Calibri" w:cstheme="minorHAnsi"/>
                <w:b/>
                <w:b/>
                <w:color w:val="auto"/>
                <w:sz w:val="24"/>
                <w:szCs w:val="24"/>
              </w:rPr>
            </w:pPr>
            <w:r>
              <w:rPr>
                <w:rFonts w:cs="Calibri" w:cstheme="minorHAnsi" w:ascii="Arial" w:hAnsi="Arial"/>
                <w:b/>
                <w:color w:val="auto"/>
                <w:sz w:val="24"/>
                <w:szCs w:val="24"/>
              </w:rPr>
            </w:r>
          </w:p>
        </w:tc>
      </w:tr>
    </w:tbl>
    <w:p>
      <w:pPr>
        <w:pStyle w:val="Normal"/>
        <w:rPr>
          <w:rFonts w:ascii="Arial" w:hAnsi="Arial" w:cs="Calibri" w:cstheme="minorHAnsi"/>
          <w:b/>
          <w:b/>
          <w:color w:val="auto"/>
          <w:sz w:val="24"/>
          <w:szCs w:val="24"/>
        </w:rPr>
      </w:pPr>
      <w:r>
        <w:rPr>
          <w:rFonts w:cs="Calibri" w:cstheme="minorHAnsi" w:ascii="Arial" w:hAnsi="Arial"/>
          <w:b/>
          <w:color w:val="auto"/>
          <w:sz w:val="24"/>
          <w:szCs w:val="24"/>
        </w:rPr>
      </w:r>
    </w:p>
    <w:p>
      <w:pPr>
        <w:pStyle w:val="Normal"/>
        <w:rPr>
          <w:rFonts w:ascii="Arial" w:hAnsi="Arial" w:cs="Calibri" w:cstheme="minorHAnsi"/>
          <w:b/>
          <w:b/>
          <w:color w:val="auto"/>
          <w:sz w:val="24"/>
          <w:szCs w:val="24"/>
        </w:rPr>
      </w:pPr>
      <w:r>
        <w:rPr>
          <w:rFonts w:cs="Calibri" w:cstheme="minorHAnsi" w:ascii="Arial" w:hAnsi="Arial"/>
          <w:b/>
          <w:color w:val="auto"/>
          <w:sz w:val="24"/>
          <w:szCs w:val="24"/>
        </w:rPr>
      </w:r>
    </w:p>
    <w:tbl>
      <w:tblPr>
        <w:tblW w:w="9749" w:type="dxa"/>
        <w:jc w:val="left"/>
        <w:tblInd w:w="156" w:type="dxa"/>
        <w:tblCellMar>
          <w:top w:w="0" w:type="dxa"/>
          <w:left w:w="0" w:type="dxa"/>
          <w:bottom w:w="0" w:type="dxa"/>
          <w:right w:w="0" w:type="dxa"/>
        </w:tblCellMar>
        <w:tblLook w:val="0000"/>
      </w:tblPr>
      <w:tblGrid>
        <w:gridCol w:w="2991"/>
        <w:gridCol w:w="3890"/>
        <w:gridCol w:w="2868"/>
      </w:tblGrid>
      <w:tr>
        <w:trPr>
          <w:trHeight w:val="280" w:hRule="exact"/>
        </w:trPr>
        <w:tc>
          <w:tcPr>
            <w:tcW w:w="2991" w:type="dxa"/>
            <w:tcBorders/>
            <w:shd w:fill="auto" w:val="clear"/>
          </w:tcPr>
          <w:p>
            <w:pPr>
              <w:pStyle w:val="Normal"/>
              <w:widowControl w:val="false"/>
              <w:spacing w:lineRule="exact" w:line="203" w:before="76" w:after="160"/>
              <w:ind w:left="40" w:right="-20" w:hanging="0"/>
              <w:rPr>
                <w:rFonts w:cs="Calibri" w:cstheme="minorHAnsi"/>
                <w:sz w:val="20"/>
                <w:szCs w:val="20"/>
              </w:rPr>
            </w:pPr>
            <w:r>
              <w:rPr>
                <w:rFonts w:cs="Calibri" w:ascii="Arial" w:hAnsi="Arial" w:cstheme="minorHAnsi"/>
                <w:color w:val="auto"/>
                <w:sz w:val="24"/>
                <w:szCs w:val="24"/>
              </w:rPr>
              <w:t>..........................................</w:t>
            </w:r>
          </w:p>
        </w:tc>
        <w:tc>
          <w:tcPr>
            <w:tcW w:w="3890" w:type="dxa"/>
            <w:tcBorders/>
            <w:shd w:fill="auto" w:val="clear"/>
          </w:tcPr>
          <w:p>
            <w:pPr>
              <w:pStyle w:val="Normal"/>
              <w:widowControl w:val="false"/>
              <w:spacing w:lineRule="exact" w:line="203" w:before="76" w:after="160"/>
              <w:ind w:right="-20" w:hanging="0"/>
              <w:rPr>
                <w:rFonts w:cs="Calibri" w:cstheme="minorHAnsi"/>
                <w:sz w:val="20"/>
                <w:szCs w:val="20"/>
              </w:rPr>
            </w:pPr>
            <w:r>
              <w:rPr>
                <w:rFonts w:cs="Calibri" w:ascii="Arial" w:hAnsi="Arial" w:cstheme="minorHAnsi"/>
                <w:color w:val="auto"/>
                <w:sz w:val="24"/>
                <w:szCs w:val="24"/>
              </w:rPr>
              <w:t>........................................</w:t>
            </w:r>
          </w:p>
        </w:tc>
        <w:tc>
          <w:tcPr>
            <w:tcW w:w="2868" w:type="dxa"/>
            <w:tcBorders/>
            <w:shd w:fill="auto" w:val="clear"/>
          </w:tcPr>
          <w:p>
            <w:pPr>
              <w:pStyle w:val="Normal"/>
              <w:widowControl w:val="false"/>
              <w:spacing w:lineRule="exact" w:line="203" w:before="76" w:after="160"/>
              <w:ind w:right="-20" w:hanging="0"/>
              <w:rPr>
                <w:rFonts w:cs="Calibri" w:cstheme="minorHAnsi"/>
                <w:sz w:val="20"/>
                <w:szCs w:val="20"/>
              </w:rPr>
            </w:pPr>
            <w:r>
              <w:rPr>
                <w:rFonts w:cs="Calibri" w:ascii="Arial" w:hAnsi="Arial" w:cstheme="minorHAnsi"/>
                <w:color w:val="auto"/>
                <w:sz w:val="24"/>
                <w:szCs w:val="24"/>
              </w:rPr>
              <w:t>.........................................</w:t>
            </w:r>
          </w:p>
        </w:tc>
      </w:tr>
      <w:tr>
        <w:trPr>
          <w:trHeight w:val="280" w:hRule="exact"/>
        </w:trPr>
        <w:tc>
          <w:tcPr>
            <w:tcW w:w="2991" w:type="dxa"/>
            <w:tcBorders/>
            <w:shd w:fill="auto" w:val="clear"/>
          </w:tcPr>
          <w:p>
            <w:pPr>
              <w:pStyle w:val="Normal"/>
              <w:widowControl w:val="false"/>
              <w:spacing w:lineRule="exact" w:line="184" w:before="0" w:after="160"/>
              <w:ind w:left="288" w:right="-20" w:hanging="0"/>
              <w:rPr>
                <w:rFonts w:cs="Calibri" w:cstheme="minorHAnsi"/>
                <w:sz w:val="20"/>
                <w:szCs w:val="20"/>
              </w:rPr>
            </w:pPr>
            <w:r>
              <w:rPr>
                <w:rFonts w:cs="Calibri" w:ascii="Arial" w:hAnsi="Arial" w:cstheme="minorHAnsi"/>
                <w:color w:val="auto"/>
                <w:sz w:val="24"/>
                <w:szCs w:val="24"/>
              </w:rPr>
              <w:t>(główny księgowy)</w:t>
            </w:r>
          </w:p>
        </w:tc>
        <w:tc>
          <w:tcPr>
            <w:tcW w:w="3890" w:type="dxa"/>
            <w:tcBorders/>
            <w:shd w:fill="auto" w:val="clear"/>
          </w:tcPr>
          <w:p>
            <w:pPr>
              <w:pStyle w:val="Normal"/>
              <w:widowControl w:val="false"/>
              <w:spacing w:lineRule="exact" w:line="184" w:before="0" w:after="160"/>
              <w:ind w:right="-20" w:hanging="0"/>
              <w:rPr>
                <w:rFonts w:cs="Calibri" w:cstheme="minorHAnsi"/>
                <w:sz w:val="20"/>
                <w:szCs w:val="20"/>
              </w:rPr>
            </w:pPr>
            <w:r>
              <w:rPr>
                <w:rFonts w:cs="Calibri" w:ascii="Arial" w:hAnsi="Arial" w:cstheme="minorHAnsi"/>
                <w:color w:val="auto"/>
                <w:sz w:val="24"/>
                <w:szCs w:val="24"/>
              </w:rPr>
              <w:t>(rok, miesiąc, dzień)</w:t>
            </w:r>
          </w:p>
        </w:tc>
        <w:tc>
          <w:tcPr>
            <w:tcW w:w="2868" w:type="dxa"/>
            <w:tcBorders/>
            <w:shd w:fill="auto" w:val="clear"/>
          </w:tcPr>
          <w:p>
            <w:pPr>
              <w:pStyle w:val="Normal"/>
              <w:widowControl w:val="false"/>
              <w:spacing w:lineRule="exact" w:line="184" w:before="0" w:after="160"/>
              <w:ind w:right="-20" w:hanging="0"/>
              <w:rPr>
                <w:rFonts w:cs="Calibri" w:cstheme="minorHAnsi"/>
                <w:sz w:val="20"/>
                <w:szCs w:val="20"/>
              </w:rPr>
            </w:pPr>
            <w:r>
              <w:rPr>
                <w:rFonts w:cs="Calibri" w:ascii="Arial" w:hAnsi="Arial" w:cstheme="minorHAnsi"/>
                <w:color w:val="auto"/>
                <w:sz w:val="24"/>
                <w:szCs w:val="24"/>
              </w:rPr>
              <w:t>(kierownik jednostki)</w:t>
            </w:r>
          </w:p>
        </w:tc>
      </w:tr>
    </w:tbl>
    <w:p>
      <w:pPr>
        <w:pStyle w:val="Normal"/>
        <w:spacing w:before="0" w:after="160"/>
        <w:rPr/>
      </w:pPr>
      <w:r>
        <w:rPr/>
      </w:r>
    </w:p>
    <w:sectPr>
      <w:type w:val="nextPage"/>
      <w:pgSz w:orient="landscape" w:w="16838" w:h="11906"/>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Arial Narrow">
    <w:charset w:val="ee"/>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2">
    <w:lvl w:ilvl="0">
      <w:start w:val="19"/>
      <w:numFmt w:val="bullet"/>
      <w:lvlText w:val="-"/>
      <w:lvlJc w:val="left"/>
      <w:pPr>
        <w:tabs>
          <w:tab w:val="num" w:pos="720"/>
        </w:tabs>
        <w:ind w:left="720" w:hanging="360"/>
      </w:pPr>
      <w:rPr>
        <w:rFonts w:ascii="OpenSymbol" w:hAnsi="OpenSymbol" w:cs="OpenSymbol" w:hint="default"/>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2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6"/>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f488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9572ff"/>
    <w:rPr>
      <w:rFonts w:ascii="Segoe UI" w:hAnsi="Segoe UI" w:cs="Segoe UI"/>
      <w:sz w:val="18"/>
      <w:szCs w:val="18"/>
    </w:rPr>
  </w:style>
  <w:style w:type="character" w:styleId="NagwekZnak" w:customStyle="1">
    <w:name w:val="Nagłówek Znak"/>
    <w:basedOn w:val="DefaultParagraphFont"/>
    <w:link w:val="Nagwek"/>
    <w:uiPriority w:val="99"/>
    <w:semiHidden/>
    <w:qFormat/>
    <w:rsid w:val="00266dd5"/>
    <w:rPr/>
  </w:style>
  <w:style w:type="character" w:styleId="StopkaZnak" w:customStyle="1">
    <w:name w:val="Stopka Znak"/>
    <w:basedOn w:val="DefaultParagraphFont"/>
    <w:link w:val="Stopka"/>
    <w:uiPriority w:val="99"/>
    <w:semiHidden/>
    <w:qFormat/>
    <w:rsid w:val="00266dd5"/>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ListLabel3">
    <w:name w:val="ListLabel 3"/>
    <w:qFormat/>
    <w:rPr>
      <w:rFonts w:cs="Times New Roman"/>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Times New Roman"/>
    </w:rPr>
  </w:style>
  <w:style w:type="character" w:styleId="ListLabel13">
    <w:name w:val="ListLabel 13"/>
    <w:qFormat/>
    <w:rPr>
      <w:rFonts w:ascii="Arial" w:hAnsi="Arial" w:cs="OpenSymbol"/>
      <w:sz w:val="24"/>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ascii="Arial" w:hAnsi="Arial" w:cs="OpenSymbol"/>
      <w:sz w:val="24"/>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ascii="Arial" w:hAnsi="Arial" w:cs="OpenSymbol"/>
      <w:sz w:val="24"/>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ascii="Arial" w:hAnsi="Arial" w:cs="OpenSymbol"/>
      <w:sz w:val="24"/>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8219e0"/>
    <w:pPr>
      <w:spacing w:before="0" w:after="160"/>
      <w:ind w:left="720" w:hanging="0"/>
      <w:contextualSpacing/>
    </w:pPr>
    <w:rPr/>
  </w:style>
  <w:style w:type="paragraph" w:styleId="BalloonText">
    <w:name w:val="Balloon Text"/>
    <w:basedOn w:val="Normal"/>
    <w:link w:val="TekstdymkaZnak"/>
    <w:uiPriority w:val="99"/>
    <w:semiHidden/>
    <w:unhideWhenUsed/>
    <w:qFormat/>
    <w:rsid w:val="009572ff"/>
    <w:pPr>
      <w:spacing w:lineRule="auto" w:line="240" w:before="0" w:after="0"/>
    </w:pPr>
    <w:rPr>
      <w:rFonts w:ascii="Segoe UI" w:hAnsi="Segoe UI" w:cs="Segoe UI"/>
      <w:sz w:val="18"/>
      <w:szCs w:val="18"/>
    </w:rPr>
  </w:style>
  <w:style w:type="paragraph" w:styleId="NoSpacing">
    <w:name w:val="No Spacing"/>
    <w:uiPriority w:val="1"/>
    <w:qFormat/>
    <w:rsid w:val="002b3aa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Gwka">
    <w:name w:val="Header"/>
    <w:basedOn w:val="Normal"/>
    <w:link w:val="NagwekZnak"/>
    <w:uiPriority w:val="99"/>
    <w:semiHidden/>
    <w:unhideWhenUsed/>
    <w:rsid w:val="00266dd5"/>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semiHidden/>
    <w:unhideWhenUsed/>
    <w:rsid w:val="00266dd5"/>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uiPriority w:val="39"/>
    <w:rsid w:val="00891a6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4249-CB70-4ECC-A8C3-2AAEB1D3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LibreOffice/6.2.3.2$Windows_x86 LibreOffice_project/aecc05fe267cc68dde00352a451aa867b3b546ac</Application>
  <Pages>8</Pages>
  <Words>3363</Words>
  <Characters>21652</Characters>
  <CharactersWithSpaces>25434</CharactersWithSpaces>
  <Paragraphs>432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2025-05-05T07:16:00Z</dcterms:created>
  <dc:creator>Marietta Ulatowska</dc:creator>
  <dc:description/>
  <cp:keywords>Informacja dodatkowa</cp:keywords>
  <dc:language>pl-PL</dc:language>
  <cp:lastModifiedBy/>
  <cp:lastPrinted>2025-03-21T07:08:00Z</cp:lastPrinted>
  <dcterms:modified xsi:type="dcterms:W3CDTF">2025-05-05T14:15:31Z</dcterms:modified>
  <cp:revision>3</cp:revision>
  <dc:subject/>
  <dc:title>SP5 INFORMACJA DODATKOWA 2024 - wersja dostępna cyfrowo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