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126" w:type="dxa"/>
        <w:jc w:val="left"/>
        <w:tblInd w:w="0" w:type="dxa"/>
        <w:tblCellMar>
          <w:top w:w="0" w:type="dxa"/>
          <w:left w:w="108" w:type="dxa"/>
          <w:bottom w:w="0" w:type="dxa"/>
          <w:right w:w="108" w:type="dxa"/>
        </w:tblCellMar>
        <w:tblLook w:firstRow="1" w:noVBand="1" w:lastRow="0" w:firstColumn="1" w:lastColumn="0" w:noHBand="0" w:val="04a0"/>
      </w:tblPr>
      <w:tblGrid>
        <w:gridCol w:w="561"/>
        <w:gridCol w:w="14564"/>
      </w:tblGrid>
      <w:tr>
        <w:trPr/>
        <w:tc>
          <w:tcPr>
            <w:tcW w:w="561"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4564"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456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6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p>
            <w:pPr>
              <w:pStyle w:val="Normal"/>
              <w:spacing w:lineRule="auto" w:line="240" w:before="0" w:after="0"/>
              <w:rPr>
                <w:rFonts w:ascii="Arial Narrow" w:hAnsi="Arial Narrow"/>
              </w:rPr>
            </w:pPr>
            <w:r>
              <w:rPr>
                <w:rFonts w:ascii="Arial" w:hAnsi="Arial"/>
                <w:color w:val="auto"/>
                <w:sz w:val="24"/>
                <w:szCs w:val="24"/>
              </w:rPr>
              <w:t>Szkoła Podstawowa nr  12</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siedzibę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6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Wiejska 29   87-800 Włocławek</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adres jednostki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6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sz w:val="24"/>
                <w:szCs w:val="24"/>
              </w:rPr>
            </w:pPr>
            <w:r>
              <w:rPr>
                <w:rFonts w:ascii="Arial" w:hAnsi="Arial"/>
                <w:color w:val="auto"/>
                <w:sz w:val="24"/>
                <w:szCs w:val="24"/>
              </w:rPr>
              <w:t>Ul. Wiejska 29  87-800 Włocławek</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podstawowy przedmiot działalności jednostki</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64" w:type="dxa"/>
            <w:tcBorders/>
            <w:shd w:fill="auto" w:val="clear"/>
          </w:tcPr>
          <w:p>
            <w:pPr>
              <w:pStyle w:val="Normal"/>
              <w:spacing w:lineRule="auto" w:line="240" w:before="0" w:after="0"/>
              <w:rPr>
                <w:rFonts w:cs="TimesNewRomanPSMT"/>
                <w:sz w:val="24"/>
                <w:szCs w:val="24"/>
              </w:rPr>
            </w:pPr>
            <w:r>
              <w:rPr>
                <w:rFonts w:cs="TimesNewRomanPSMT" w:ascii="Arial" w:hAnsi="Arial"/>
                <w:color w:val="auto"/>
                <w:sz w:val="24"/>
                <w:szCs w:val="24"/>
              </w:rPr>
              <w:t>Podstawę prawną działalności Szkoły Podstawowej nr 12 stanowi ustawa z dnia 14 grudnia 2016 r. Prawo</w:t>
            </w:r>
          </w:p>
          <w:p>
            <w:pPr>
              <w:pStyle w:val="Normal"/>
              <w:spacing w:lineRule="auto" w:line="240" w:before="0" w:after="0"/>
              <w:rPr>
                <w:b/>
                <w:b/>
                <w:sz w:val="24"/>
                <w:szCs w:val="24"/>
              </w:rPr>
            </w:pPr>
            <w:r>
              <w:rPr>
                <w:rFonts w:cs="TimesNewRomanPSMT" w:ascii="Arial" w:hAnsi="Arial"/>
                <w:color w:val="auto"/>
                <w:sz w:val="24"/>
                <w:szCs w:val="24"/>
              </w:rPr>
              <w:t>Oświatowe (tekst jednolity Dz.U. z 2017 r. poz. 59) oraz wydane do niej przepisy wykonawcze oraz Statut Szkoły Podstawowej nr 12.</w:t>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wskazanie okresu objętego sprawozdaniem</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64" w:type="dxa"/>
            <w:tcBorders/>
            <w:shd w:fill="auto" w:val="clear"/>
          </w:tcPr>
          <w:p>
            <w:pPr>
              <w:pStyle w:val="Normal"/>
              <w:spacing w:lineRule="auto" w:line="240" w:before="0" w:after="0"/>
              <w:rPr>
                <w:rFonts w:ascii="Arial Narrow" w:hAnsi="Arial Narrow"/>
              </w:rPr>
            </w:pPr>
            <w:r>
              <w:rPr>
                <w:rFonts w:ascii="Arial" w:hAnsi="Arial"/>
                <w:color w:val="auto"/>
                <w:sz w:val="24"/>
                <w:szCs w:val="24"/>
              </w:rPr>
              <w:t>01 stycznia 2024 -31 grudnia 2024</w:t>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61"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4564"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6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4564"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ascii="Arial Narrow" w:hAnsi="Arial Narrow"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ascii="Arial" w:hAnsi="Arial"/>
                <w:color w:val="auto"/>
                <w:sz w:val="24"/>
                <w:szCs w:val="24"/>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w:t>
              <w:br/>
              <w:t>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S</w:t>
            </w:r>
            <w:r>
              <w:rPr>
                <w:rFonts w:cs="Calibri" w:ascii="Arial" w:hAnsi="Arial" w:cstheme="minorHAnsi"/>
                <w:color w:val="auto"/>
                <w:sz w:val="24"/>
                <w:szCs w:val="24"/>
              </w:rPr>
              <w:t>zczególnie dowodami zastępczymi dokumentowane są:</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ascii="Arial Narrow" w:hAnsi="Arial Narrow"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rFonts w:ascii="Arial" w:hAnsi="Arial"/>
                <w:color w:val="auto"/>
                <w:sz w:val="24"/>
                <w:szCs w:val="24"/>
              </w:rPr>
            </w:pP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ascii="Arial Narrow" w:hAnsi="Arial Narrow"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jc w:val="both"/>
              <w:rPr>
                <w:rFonts w:ascii="Arial Narrow" w:hAnsi="Arial Narrow" w:cs="Calibri" w:cstheme="minorHAnsi"/>
              </w:rPr>
            </w:pPr>
            <w:r>
              <w:rPr>
                <w:rFonts w:cs="Calibri" w:ascii="Arial" w:hAnsi="Arial" w:cstheme="minorHAnsi"/>
                <w:color w:val="auto"/>
                <w:sz w:val="24"/>
                <w:szCs w:val="24"/>
              </w:rPr>
              <w:t>W sprawie rozliczania podatku VAT metodą podzielonej płatności obowiązuje Zarządzenie nr 449/2019 Prezydenta Miasta Włocławek z dnia 31 października 2019 r.</w:t>
            </w:r>
          </w:p>
          <w:p>
            <w:pPr>
              <w:pStyle w:val="Normal"/>
              <w:spacing w:lineRule="auto" w:line="240" w:before="0" w:after="0"/>
              <w:jc w:val="both"/>
              <w:rPr>
                <w:rFonts w:ascii="Arial Narrow" w:hAnsi="Arial Narrow" w:cs="Calibri" w:cstheme="minorHAnsi"/>
              </w:rPr>
            </w:pPr>
            <w:r>
              <w:rPr>
                <w:rFonts w:cs="Calibri" w:ascii="Arial" w:hAnsi="Arial" w:cstheme="minorHAnsi"/>
                <w:color w:val="auto"/>
                <w:sz w:val="24"/>
                <w:szCs w:val="24"/>
              </w:rPr>
              <w:t>W celu realizacji MPP (Mechanizm Podzielonej Płatności) wydzielono w księgach rachunkowych dodatkowe konta analityczne „VAT”.</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 xml:space="preserve"> </w:t>
            </w:r>
            <w:r>
              <w:rPr>
                <w:rFonts w:cs="Calibri" w:ascii="Arial" w:hAnsi="Arial" w:cstheme="minorHAnsi"/>
                <w:bCs/>
                <w:iCs/>
                <w:color w:val="auto"/>
                <w:sz w:val="24"/>
                <w:szCs w:val="24"/>
              </w:rPr>
              <w:t>Księgi rachunkowe prowadzi się techniką komputerową wg następującego oprogramowania:</w:t>
            </w:r>
          </w:p>
          <w:p>
            <w:pPr>
              <w:pStyle w:val="Normal"/>
              <w:numPr>
                <w:ilvl w:val="0"/>
                <w:numId w:val="21"/>
              </w:numPr>
              <w:spacing w:lineRule="auto" w:line="240" w:before="0" w:after="0"/>
              <w:jc w:val="both"/>
              <w:rPr>
                <w:rFonts w:ascii="Arial" w:hAnsi="Arial"/>
                <w:color w:val="auto"/>
                <w:sz w:val="24"/>
                <w:szCs w:val="24"/>
              </w:rPr>
            </w:pPr>
            <w:r>
              <w:rPr>
                <w:rFonts w:cs="Calibri" w:ascii="Arial" w:hAnsi="Arial" w:cstheme="minorHAnsi"/>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61"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564"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56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bl>
            <w:tblPr>
              <w:tblW w:w="14351" w:type="dxa"/>
              <w:jc w:val="left"/>
              <w:tblInd w:w="0" w:type="dxa"/>
              <w:tblCellMar>
                <w:top w:w="0" w:type="dxa"/>
                <w:left w:w="70" w:type="dxa"/>
                <w:bottom w:w="0" w:type="dxa"/>
                <w:right w:w="70" w:type="dxa"/>
              </w:tblCellMar>
              <w:tblLook w:firstRow="1" w:noVBand="1" w:lastRow="0" w:firstColumn="1" w:lastColumn="0" w:noHBand="0" w:val="04a0"/>
            </w:tblPr>
            <w:tblGrid>
              <w:gridCol w:w="195"/>
              <w:gridCol w:w="37"/>
              <w:gridCol w:w="574"/>
              <w:gridCol w:w="243"/>
              <w:gridCol w:w="106"/>
              <w:gridCol w:w="409"/>
              <w:gridCol w:w="235"/>
              <w:gridCol w:w="218"/>
              <w:gridCol w:w="7"/>
              <w:gridCol w:w="48"/>
              <w:gridCol w:w="366"/>
              <w:gridCol w:w="3"/>
              <w:gridCol w:w="80"/>
              <w:gridCol w:w="161"/>
              <w:gridCol w:w="53"/>
              <w:gridCol w:w="159"/>
              <w:gridCol w:w="393"/>
              <w:gridCol w:w="3"/>
              <w:gridCol w:w="261"/>
              <w:gridCol w:w="62"/>
              <w:gridCol w:w="103"/>
              <w:gridCol w:w="2"/>
              <w:gridCol w:w="67"/>
              <w:gridCol w:w="188"/>
              <w:gridCol w:w="327"/>
              <w:gridCol w:w="265"/>
              <w:gridCol w:w="1"/>
              <w:gridCol w:w="17"/>
              <w:gridCol w:w="83"/>
              <w:gridCol w:w="323"/>
              <w:gridCol w:w="325"/>
              <w:gridCol w:w="97"/>
              <w:gridCol w:w="5"/>
              <w:gridCol w:w="155"/>
              <w:gridCol w:w="268"/>
              <w:gridCol w:w="3"/>
              <w:gridCol w:w="155"/>
              <w:gridCol w:w="221"/>
              <w:gridCol w:w="188"/>
              <w:gridCol w:w="3"/>
              <w:gridCol w:w="234"/>
              <w:gridCol w:w="170"/>
              <w:gridCol w:w="51"/>
              <w:gridCol w:w="434"/>
              <w:gridCol w:w="99"/>
              <w:gridCol w:w="3"/>
              <w:gridCol w:w="180"/>
              <w:gridCol w:w="310"/>
              <w:gridCol w:w="117"/>
              <w:gridCol w:w="318"/>
              <w:gridCol w:w="64"/>
              <w:gridCol w:w="3"/>
              <w:gridCol w:w="162"/>
              <w:gridCol w:w="260"/>
              <w:gridCol w:w="56"/>
              <w:gridCol w:w="34"/>
              <w:gridCol w:w="536"/>
              <w:gridCol w:w="196"/>
              <w:gridCol w:w="15"/>
              <w:gridCol w:w="4"/>
              <w:gridCol w:w="7"/>
              <w:gridCol w:w="7"/>
              <w:gridCol w:w="185"/>
              <w:gridCol w:w="2"/>
              <w:gridCol w:w="13"/>
              <w:gridCol w:w="209"/>
              <w:gridCol w:w="2"/>
              <w:gridCol w:w="7"/>
              <w:gridCol w:w="4"/>
              <w:gridCol w:w="2"/>
              <w:gridCol w:w="835"/>
              <w:gridCol w:w="1"/>
              <w:gridCol w:w="7"/>
              <w:gridCol w:w="5"/>
              <w:gridCol w:w="1"/>
              <w:gridCol w:w="411"/>
              <w:gridCol w:w="1"/>
              <w:gridCol w:w="7"/>
              <w:gridCol w:w="4"/>
              <w:gridCol w:w="2"/>
              <w:gridCol w:w="977"/>
              <w:gridCol w:w="2"/>
              <w:gridCol w:w="7"/>
              <w:gridCol w:w="4"/>
              <w:gridCol w:w="2"/>
              <w:gridCol w:w="978"/>
              <w:gridCol w:w="2"/>
              <w:gridCol w:w="7"/>
              <w:gridCol w:w="6"/>
              <w:gridCol w:w="993"/>
            </w:tblGrid>
            <w:tr>
              <w:trPr>
                <w:trHeight w:val="330" w:hRule="atLeast"/>
              </w:trPr>
              <w:tc>
                <w:tcPr>
                  <w:tcW w:w="9651" w:type="dxa"/>
                  <w:gridSpan w:val="59"/>
                  <w:tcBorders/>
                  <w:shd w:color="auto" w:fill="auto" w:val="clear"/>
                  <w:vAlign w:val="center"/>
                </w:tcPr>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tc>
              <w:tc>
                <w:tcPr>
                  <w:tcW w:w="18"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00"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24"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49"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425"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2"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3"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330" w:hRule="atLeast"/>
              </w:trPr>
              <w:tc>
                <w:tcPr>
                  <w:tcW w:w="23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57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34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40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460"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97"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61"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05"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26"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87" w:type="dxa"/>
                  <w:gridSpan w:val="5"/>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6"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45"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6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47"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46" w:type="dxa"/>
                  <w:gridSpan w:val="5"/>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3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92"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3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45" w:type="dxa"/>
                  <w:gridSpan w:val="5"/>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7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16" w:type="dxa"/>
                  <w:gridSpan w:val="7"/>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224"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49"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425"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2"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3"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006"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330" w:hRule="atLeast"/>
              </w:trPr>
              <w:tc>
                <w:tcPr>
                  <w:tcW w:w="9651" w:type="dxa"/>
                  <w:gridSpan w:val="59"/>
                  <w:tcBorders/>
                  <w:shd w:color="auto" w:fill="auto" w:val="clear"/>
                  <w:vAlign w:val="center"/>
                </w:tcPr>
                <w:p>
                  <w:pPr>
                    <w:pStyle w:val="Normal"/>
                    <w:spacing w:lineRule="auto" w:line="240" w:before="0" w:after="0"/>
                    <w:rPr>
                      <w:rFonts w:ascii="Arial Narrow" w:hAnsi="Arial Narrow" w:eastAsia="Times New Roman" w:cs="Calibri"/>
                      <w:b/>
                      <w:b/>
                      <w:bCs/>
                      <w:color w:val="000000"/>
                      <w:u w:val="single"/>
                      <w:lang w:eastAsia="pl-PL"/>
                    </w:rPr>
                  </w:pPr>
                  <w:r>
                    <w:rPr>
                      <w:rFonts w:eastAsia="Times New Roman" w:cs="Calibri" w:ascii="Arial" w:hAnsi="Arial"/>
                      <w:b/>
                      <w:bCs/>
                      <w:color w:val="auto"/>
                      <w:sz w:val="24"/>
                      <w:szCs w:val="24"/>
                      <w:u w:val="single"/>
                      <w:lang w:eastAsia="pl-PL"/>
                    </w:rPr>
                    <w:t xml:space="preserve">Główne składniki aktywów trwałych - </w:t>
                  </w:r>
                </w:p>
              </w:tc>
              <w:tc>
                <w:tcPr>
                  <w:tcW w:w="18"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00"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24"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49"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425"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2"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3"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3"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330" w:hRule="atLeast"/>
              </w:trPr>
              <w:tc>
                <w:tcPr>
                  <w:tcW w:w="19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61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758"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23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20"/>
                      <w:szCs w:val="20"/>
                      <w:lang w:eastAsia="pl-PL"/>
                    </w:rPr>
                  </w:pPr>
                  <w:r>
                    <w:rPr>
                      <w:rFonts w:eastAsia="Times New Roman" w:cs="Calibri" w:ascii="Arial" w:hAnsi="Arial"/>
                      <w:b/>
                      <w:bCs/>
                      <w:color w:val="auto"/>
                      <w:sz w:val="24"/>
                      <w:szCs w:val="24"/>
                      <w:lang w:eastAsia="pl-PL"/>
                    </w:rPr>
                    <w:t> </w:t>
                  </w:r>
                </w:p>
              </w:tc>
              <w:tc>
                <w:tcPr>
                  <w:tcW w:w="273"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6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297"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5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57"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234"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8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10"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31"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83" w:type="dxa"/>
                  <w:gridSpan w:val="6"/>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646"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7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67" w:type="dxa"/>
                  <w:gridSpan w:val="5"/>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42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547" w:type="dxa"/>
                  <w:gridSpan w:val="4"/>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350"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73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lang w:eastAsia="pl-PL"/>
                    </w:rPr>
                  </w:pPr>
                  <w:r>
                    <w:rPr>
                      <w:rFonts w:eastAsia="Times New Roman" w:cs="Calibri" w:ascii="Arial" w:hAnsi="Arial"/>
                      <w:b/>
                      <w:bCs/>
                      <w:color w:val="auto"/>
                      <w:sz w:val="24"/>
                      <w:szCs w:val="24"/>
                      <w:lang w:eastAsia="pl-PL"/>
                    </w:rPr>
                    <w:t> </w:t>
                  </w:r>
                </w:p>
              </w:tc>
              <w:tc>
                <w:tcPr>
                  <w:tcW w:w="19" w:type="dxa"/>
                  <w:gridSpan w:val="2"/>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99"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224" w:type="dxa"/>
                  <w:gridSpan w:val="3"/>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850"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425"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1"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993" w:type="dxa"/>
                  <w:gridSpan w:val="5"/>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008" w:type="dxa"/>
                  <w:gridSpan w:val="4"/>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rHeight w:val="510" w:hRule="atLeast"/>
              </w:trPr>
              <w:tc>
                <w:tcPr>
                  <w:tcW w:w="23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Lp.</w:t>
                  </w:r>
                </w:p>
              </w:tc>
              <w:tc>
                <w:tcPr>
                  <w:tcW w:w="81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Nazwa grupy rodzajowej składnika aktywów trwałych</w:t>
                  </w:r>
                </w:p>
              </w:tc>
              <w:tc>
                <w:tcPr>
                  <w:tcW w:w="968" w:type="dxa"/>
                  <w:gridSpan w:val="4"/>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poczatek roku obrotowego</w:t>
                  </w:r>
                </w:p>
              </w:tc>
              <w:tc>
                <w:tcPr>
                  <w:tcW w:w="1701" w:type="dxa"/>
                  <w:gridSpan w:val="1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Zwiększenie wartości poczatkowej</w:t>
                  </w:r>
                </w:p>
              </w:tc>
              <w:tc>
                <w:tcPr>
                  <w:tcW w:w="848" w:type="dxa"/>
                  <w:gridSpan w:val="5"/>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wartości początkowej (4+5+6)</w:t>
                  </w:r>
                </w:p>
              </w:tc>
              <w:tc>
                <w:tcPr>
                  <w:tcW w:w="1276" w:type="dxa"/>
                  <w:gridSpan w:val="9"/>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wartości początkowej</w:t>
                  </w:r>
                </w:p>
              </w:tc>
              <w:tc>
                <w:tcPr>
                  <w:tcW w:w="56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zmniejszenie wartości poczatkowej                                                                                                                              (8+9+10)</w:t>
                  </w:r>
                </w:p>
              </w:tc>
              <w:tc>
                <w:tcPr>
                  <w:tcW w:w="991"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poczatkowa - stan na koniec roku obrotowego                                                                                                                                           (3+7-11)</w:t>
                  </w:r>
                </w:p>
              </w:tc>
              <w:tc>
                <w:tcPr>
                  <w:tcW w:w="992" w:type="dxa"/>
                  <w:gridSpan w:val="6"/>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początek roku obrotowego</w:t>
                  </w:r>
                </w:p>
              </w:tc>
              <w:tc>
                <w:tcPr>
                  <w:tcW w:w="1699" w:type="dxa"/>
                  <w:gridSpan w:val="17"/>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Zwiększenia w ciągu roku obrotowego</w:t>
                  </w:r>
                </w:p>
              </w:tc>
              <w:tc>
                <w:tcPr>
                  <w:tcW w:w="85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Ogółem zwiększenie umorzenia (14+15+16)</w:t>
                  </w:r>
                </w:p>
              </w:tc>
              <w:tc>
                <w:tcPr>
                  <w:tcW w:w="424" w:type="dxa"/>
                  <w:gridSpan w:val="5"/>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Zmniejszenie umorzenia</w:t>
                  </w:r>
                </w:p>
              </w:tc>
              <w:tc>
                <w:tcPr>
                  <w:tcW w:w="992"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Umorzenie - stan na koniec roku obrotowego                                                                                                 (13+17-18)</w:t>
                  </w:r>
                </w:p>
              </w:tc>
              <w:tc>
                <w:tcPr>
                  <w:tcW w:w="1988" w:type="dxa"/>
                  <w:gridSpan w:val="6"/>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Wartość netto składników aktywów</w:t>
                  </w:r>
                </w:p>
              </w:tc>
            </w:tr>
            <w:tr>
              <w:trPr>
                <w:trHeight w:val="2070" w:hRule="atLeast"/>
              </w:trPr>
              <w:tc>
                <w:tcPr>
                  <w:tcW w:w="232"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17" w:type="dxa"/>
                  <w:gridSpan w:val="2"/>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68" w:type="dxa"/>
                  <w:gridSpan w:val="4"/>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4" w:type="dxa"/>
                  <w:gridSpan w:val="4"/>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849" w:type="dxa"/>
                  <w:gridSpan w:val="6"/>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Przychody</w:t>
                  </w:r>
                </w:p>
              </w:tc>
              <w:tc>
                <w:tcPr>
                  <w:tcW w:w="426" w:type="dxa"/>
                  <w:gridSpan w:val="3"/>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Przemieszczenie</w:t>
                  </w:r>
                </w:p>
              </w:tc>
              <w:tc>
                <w:tcPr>
                  <w:tcW w:w="849" w:type="dxa"/>
                  <w:gridSpan w:val="5"/>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4" w:type="dxa"/>
                  <w:gridSpan w:val="4"/>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Zbycie</w:t>
                  </w:r>
                </w:p>
              </w:tc>
              <w:tc>
                <w:tcPr>
                  <w:tcW w:w="427"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Likwidacja</w:t>
                  </w:r>
                </w:p>
              </w:tc>
              <w:tc>
                <w:tcPr>
                  <w:tcW w:w="423"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567"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1"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2" w:type="dxa"/>
                  <w:gridSpan w:val="6"/>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gridSpan w:val="3"/>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Aktualizacja</w:t>
                  </w:r>
                </w:p>
              </w:tc>
              <w:tc>
                <w:tcPr>
                  <w:tcW w:w="848" w:type="dxa"/>
                  <w:gridSpan w:val="7"/>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Amortyzacja za rok obrotowy</w:t>
                  </w:r>
                </w:p>
              </w:tc>
              <w:tc>
                <w:tcPr>
                  <w:tcW w:w="425" w:type="dxa"/>
                  <w:gridSpan w:val="7"/>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w:t>
                  </w:r>
                </w:p>
              </w:tc>
              <w:tc>
                <w:tcPr>
                  <w:tcW w:w="84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2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2"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poczatek roku obrotowego                                                                                                                                                                           (3-13)</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3</w:t>
                  </w:r>
                </w:p>
              </w:tc>
              <w:tc>
                <w:tcPr>
                  <w:tcW w:w="42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4</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5</w:t>
                  </w:r>
                </w:p>
              </w:tc>
              <w:tc>
                <w:tcPr>
                  <w:tcW w:w="426"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6</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7</w:t>
                  </w:r>
                </w:p>
              </w:tc>
              <w:tc>
                <w:tcPr>
                  <w:tcW w:w="42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8</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9</w:t>
                  </w:r>
                </w:p>
              </w:tc>
              <w:tc>
                <w:tcPr>
                  <w:tcW w:w="42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11</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12</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13</w:t>
                  </w:r>
                </w:p>
              </w:tc>
              <w:tc>
                <w:tcPr>
                  <w:tcW w:w="425"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14</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15</w:t>
                  </w:r>
                </w:p>
              </w:tc>
              <w:tc>
                <w:tcPr>
                  <w:tcW w:w="425" w:type="dxa"/>
                  <w:gridSpan w:val="7"/>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16</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17</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18</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19</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20</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4"/>
                      <w:szCs w:val="14"/>
                      <w:lang w:eastAsia="pl-PL"/>
                    </w:rPr>
                  </w:pPr>
                  <w:r>
                    <w:rPr>
                      <w:rFonts w:eastAsia="Times New Roman" w:cs="Calibri" w:ascii="Arial" w:hAnsi="Arial"/>
                      <w:i/>
                      <w:iCs/>
                      <w:color w:val="auto"/>
                      <w:sz w:val="24"/>
                      <w:szCs w:val="24"/>
                      <w:lang w:eastAsia="pl-PL"/>
                    </w:rPr>
                    <w:t>21</w:t>
                  </w:r>
                </w:p>
              </w:tc>
            </w:tr>
            <w:tr>
              <w:trPr>
                <w:trHeight w:val="810"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1.</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Wartości niematerialne                          i prawne</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30 579,30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30 579,30</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30 579,30</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30 579,30</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r>
            <w:tr>
              <w:trPr>
                <w:trHeight w:val="540"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2.</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8"/>
                      <w:szCs w:val="18"/>
                      <w:lang w:eastAsia="pl-PL"/>
                    </w:rPr>
                  </w:pPr>
                  <w:r>
                    <w:rPr>
                      <w:rFonts w:eastAsia="Times New Roman" w:cs="Calibri" w:ascii="Arial" w:hAnsi="Arial"/>
                      <w:b/>
                      <w:bCs/>
                      <w:color w:val="auto"/>
                      <w:sz w:val="24"/>
                      <w:szCs w:val="24"/>
                      <w:lang w:eastAsia="pl-PL"/>
                    </w:rPr>
                    <w:t>Środki trwałe</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12 554 931,33</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38 792,81</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38 792,81</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12 593 724,14</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6 256 200,57</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322 776,67</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322 776,67</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6 578 977,24</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6 298 730,76</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6 014 746,90</w:t>
                  </w:r>
                </w:p>
              </w:tc>
            </w:tr>
            <w:tr>
              <w:trPr>
                <w:trHeight w:val="405"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grunty</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1 378 580,00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1 378 580,00</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 </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1 378 580,00</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1 378 580,00</w:t>
                  </w:r>
                </w:p>
              </w:tc>
            </w:tr>
            <w:tr>
              <w:trPr>
                <w:trHeight w:val="765"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budynki, lokale i obiekty inżynierii lądowej i wodnej</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both"/>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10 963 136,80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10 963 136,80</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6 202 488,61</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299 425,05</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299 425,05</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6 501 913,66</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4 760 648,19</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4 461 223,14</w:t>
                  </w:r>
                </w:p>
              </w:tc>
            </w:tr>
            <w:tr>
              <w:trPr>
                <w:trHeight w:val="765"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urządzenia techniczne i maszyny</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192 783,71</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38 792,81</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38 792,81</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231 576,52</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33 281,14</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23 351,62</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23 351,62</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56 632,76</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159 502,57</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174 943,76</w:t>
                  </w:r>
                </w:p>
              </w:tc>
            </w:tr>
            <w:tr>
              <w:trPr>
                <w:trHeight w:val="330"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środki transportu</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510"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w:t>
                  </w:r>
                </w:p>
              </w:tc>
              <w:tc>
                <w:tcPr>
                  <w:tcW w:w="817"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inne środki trwałe</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20 430,82</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20 430,82</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20 430,82</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20 430,82</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0,00</w:t>
                  </w:r>
                </w:p>
              </w:tc>
            </w:tr>
            <w:tr>
              <w:trPr>
                <w:trHeight w:val="330" w:hRule="atLeast"/>
              </w:trPr>
              <w:tc>
                <w:tcPr>
                  <w:tcW w:w="23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8"/>
                      <w:szCs w:val="18"/>
                      <w:lang w:eastAsia="pl-PL"/>
                    </w:rPr>
                  </w:pPr>
                  <w:r>
                    <w:rPr>
                      <w:rFonts w:eastAsia="Times New Roman" w:cs="Calibri" w:ascii="Arial" w:hAnsi="Arial"/>
                      <w:b/>
                      <w:bCs/>
                      <w:i/>
                      <w:iCs/>
                      <w:color w:val="auto"/>
                      <w:sz w:val="24"/>
                      <w:szCs w:val="24"/>
                      <w:lang w:eastAsia="pl-PL"/>
                    </w:rPr>
                    <w:t> </w:t>
                  </w:r>
                </w:p>
              </w:tc>
              <w:tc>
                <w:tcPr>
                  <w:tcW w:w="817" w:type="dxa"/>
                  <w:gridSpan w:val="2"/>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8"/>
                      <w:szCs w:val="18"/>
                      <w:lang w:eastAsia="pl-PL"/>
                    </w:rPr>
                  </w:pPr>
                  <w:r>
                    <w:rPr>
                      <w:rFonts w:eastAsia="Times New Roman" w:cs="Calibri" w:ascii="Arial" w:hAnsi="Arial"/>
                      <w:color w:val="auto"/>
                      <w:sz w:val="24"/>
                      <w:szCs w:val="24"/>
                      <w:lang w:eastAsia="pl-PL"/>
                    </w:rPr>
                    <w:t> </w:t>
                  </w:r>
                </w:p>
              </w:tc>
              <w:tc>
                <w:tcPr>
                  <w:tcW w:w="96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both"/>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12 585 510,63</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38 792,81</w:t>
                  </w:r>
                </w:p>
              </w:tc>
              <w:tc>
                <w:tcPr>
                  <w:tcW w:w="426"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38 792,81</w:t>
                  </w:r>
                </w:p>
              </w:tc>
              <w:tc>
                <w:tcPr>
                  <w:tcW w:w="424"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7"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423"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567" w:type="dxa"/>
                  <w:gridSpan w:val="4"/>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1"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12 624 303,44</w:t>
                  </w:r>
                </w:p>
              </w:tc>
              <w:tc>
                <w:tcPr>
                  <w:tcW w:w="992" w:type="dxa"/>
                  <w:gridSpan w:val="6"/>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6 286 779,87</w:t>
                  </w:r>
                </w:p>
              </w:tc>
              <w:tc>
                <w:tcPr>
                  <w:tcW w:w="425" w:type="dxa"/>
                  <w:gridSpan w:val="3"/>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8"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322 776,67</w:t>
                  </w:r>
                </w:p>
              </w:tc>
              <w:tc>
                <w:tcPr>
                  <w:tcW w:w="425" w:type="dxa"/>
                  <w:gridSpan w:val="7"/>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849"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322 776,67</w:t>
                  </w:r>
                </w:p>
              </w:tc>
              <w:tc>
                <w:tcPr>
                  <w:tcW w:w="425"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0,00</w:t>
                  </w:r>
                </w:p>
              </w:tc>
              <w:tc>
                <w:tcPr>
                  <w:tcW w:w="992"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6 609 556,54</w:t>
                  </w:r>
                </w:p>
              </w:tc>
              <w:tc>
                <w:tcPr>
                  <w:tcW w:w="993" w:type="dxa"/>
                  <w:gridSpan w:val="5"/>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6 298 730,76</w:t>
                  </w:r>
                </w:p>
              </w:tc>
              <w:tc>
                <w:tcPr>
                  <w:tcW w:w="999" w:type="dxa"/>
                  <w:gridSpan w:val="2"/>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6 014 746,90</w:t>
                  </w:r>
                </w:p>
              </w:tc>
            </w:tr>
          </w:tbl>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Narrow" w:hAnsi="Arial Narrow"/>
                <w:color w:val="000000"/>
                <w:sz w:val="20"/>
                <w:szCs w:val="20"/>
              </w:rPr>
            </w:pPr>
            <w:r>
              <w:rPr>
                <w:rFonts w:ascii="Arial" w:hAnsi="Arial"/>
                <w:color w:val="auto"/>
                <w:sz w:val="24"/>
                <w:szCs w:val="24"/>
              </w:rPr>
              <w:t>szczegółowy</w:t>
            </w:r>
            <w:r>
              <w:rPr>
                <w:rFonts w:ascii="Arial" w:hAnsi="Arial"/>
                <w:color w:val="auto"/>
                <w:spacing w:val="1"/>
                <w:sz w:val="24"/>
                <w:szCs w:val="24"/>
              </w:rPr>
              <w:t xml:space="preserve"> </w:t>
            </w:r>
            <w:r>
              <w:rPr>
                <w:rFonts w:ascii="Arial" w:hAnsi="Arial"/>
                <w:color w:val="auto"/>
                <w:sz w:val="24"/>
                <w:szCs w:val="24"/>
              </w:rPr>
              <w:t>zakres</w:t>
            </w:r>
            <w:r>
              <w:rPr>
                <w:rFonts w:ascii="Arial" w:hAnsi="Arial"/>
                <w:color w:val="auto"/>
                <w:spacing w:val="1"/>
                <w:sz w:val="24"/>
                <w:szCs w:val="24"/>
              </w:rPr>
              <w:t xml:space="preserve"> </w:t>
            </w:r>
            <w:r>
              <w:rPr>
                <w:rFonts w:ascii="Arial" w:hAnsi="Arial"/>
                <w:color w:val="auto"/>
                <w:sz w:val="24"/>
                <w:szCs w:val="24"/>
              </w:rPr>
              <w:t>zmian</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grup</w:t>
            </w:r>
            <w:r>
              <w:rPr>
                <w:rFonts w:ascii="Arial" w:hAnsi="Arial"/>
                <w:color w:val="auto"/>
                <w:spacing w:val="1"/>
                <w:sz w:val="24"/>
                <w:szCs w:val="24"/>
              </w:rPr>
              <w:t xml:space="preserve"> </w:t>
            </w:r>
            <w:r>
              <w:rPr>
                <w:rFonts w:ascii="Arial" w:hAnsi="Arial"/>
                <w:color w:val="auto"/>
                <w:sz w:val="24"/>
                <w:szCs w:val="24"/>
              </w:rPr>
              <w:t>rodzajowych</w:t>
            </w:r>
            <w:r>
              <w:rPr>
                <w:rFonts w:ascii="Arial" w:hAnsi="Arial"/>
                <w:color w:val="auto"/>
                <w:spacing w:val="1"/>
                <w:sz w:val="24"/>
                <w:szCs w:val="24"/>
              </w:rPr>
              <w:t xml:space="preserve"> </w:t>
            </w:r>
            <w:r>
              <w:rPr>
                <w:rFonts w:ascii="Arial" w:hAnsi="Arial"/>
                <w:color w:val="auto"/>
                <w:sz w:val="24"/>
                <w:szCs w:val="24"/>
              </w:rPr>
              <w:t>środków</w:t>
            </w:r>
            <w:r>
              <w:rPr>
                <w:rFonts w:ascii="Arial" w:hAnsi="Arial"/>
                <w:color w:val="auto"/>
                <w:spacing w:val="1"/>
                <w:sz w:val="24"/>
                <w:szCs w:val="24"/>
              </w:rPr>
              <w:t xml:space="preserve"> </w:t>
            </w:r>
            <w:r>
              <w:rPr>
                <w:rFonts w:ascii="Arial" w:hAnsi="Arial"/>
                <w:color w:val="auto"/>
                <w:sz w:val="24"/>
                <w:szCs w:val="24"/>
              </w:rPr>
              <w:t>trwałych,</w:t>
            </w:r>
            <w:r>
              <w:rPr>
                <w:rFonts w:ascii="Arial" w:hAnsi="Arial"/>
                <w:color w:val="auto"/>
                <w:spacing w:val="1"/>
                <w:sz w:val="24"/>
                <w:szCs w:val="24"/>
              </w:rPr>
              <w:t xml:space="preserve"> </w:t>
            </w:r>
            <w:r>
              <w:rPr>
                <w:rFonts w:ascii="Arial" w:hAnsi="Arial"/>
                <w:color w:val="auto"/>
                <w:sz w:val="24"/>
                <w:szCs w:val="24"/>
              </w:rPr>
              <w:t>wartości</w:t>
            </w:r>
            <w:r>
              <w:rPr>
                <w:rFonts w:ascii="Arial" w:hAnsi="Arial"/>
                <w:color w:val="auto"/>
                <w:spacing w:val="1"/>
                <w:sz w:val="24"/>
                <w:szCs w:val="24"/>
              </w:rPr>
              <w:t xml:space="preserve"> </w:t>
            </w:r>
            <w:r>
              <w:rPr>
                <w:rFonts w:ascii="Arial" w:hAnsi="Arial"/>
                <w:color w:val="auto"/>
                <w:sz w:val="24"/>
                <w:szCs w:val="24"/>
              </w:rPr>
              <w:t>niematerialnych i prawnych, zawierający stan tych aktywów na początek roku obrotowego, zwiększenia i zmniejszenia z tytułu: aktualizacji wartości,</w:t>
            </w:r>
            <w:r>
              <w:rPr>
                <w:rFonts w:ascii="Arial" w:hAnsi="Arial"/>
                <w:color w:val="auto"/>
                <w:spacing w:val="-6"/>
                <w:sz w:val="24"/>
                <w:szCs w:val="24"/>
              </w:rPr>
              <w:t xml:space="preserve"> </w:t>
            </w:r>
            <w:r>
              <w:rPr>
                <w:rFonts w:ascii="Arial" w:hAnsi="Arial"/>
                <w:color w:val="auto"/>
                <w:sz w:val="24"/>
                <w:szCs w:val="24"/>
              </w:rPr>
              <w:t>nabycia,</w:t>
            </w:r>
            <w:r>
              <w:rPr>
                <w:rFonts w:ascii="Arial" w:hAnsi="Arial"/>
                <w:color w:val="auto"/>
                <w:spacing w:val="-6"/>
                <w:sz w:val="24"/>
                <w:szCs w:val="24"/>
              </w:rPr>
              <w:t xml:space="preserve"> </w:t>
            </w:r>
            <w:r>
              <w:rPr>
                <w:rFonts w:ascii="Arial" w:hAnsi="Arial"/>
                <w:color w:val="auto"/>
                <w:sz w:val="24"/>
                <w:szCs w:val="24"/>
              </w:rPr>
              <w:t>rozchodu,</w:t>
            </w:r>
            <w:r>
              <w:rPr>
                <w:rFonts w:ascii="Arial" w:hAnsi="Arial"/>
                <w:color w:val="auto"/>
                <w:spacing w:val="-6"/>
                <w:sz w:val="24"/>
                <w:szCs w:val="24"/>
              </w:rPr>
              <w:t xml:space="preserve"> </w:t>
            </w:r>
            <w:r>
              <w:rPr>
                <w:rFonts w:ascii="Arial" w:hAnsi="Arial"/>
                <w:color w:val="auto"/>
                <w:sz w:val="24"/>
                <w:szCs w:val="24"/>
              </w:rPr>
              <w:t>przemieszczenia</w:t>
            </w:r>
            <w:r>
              <w:rPr>
                <w:rFonts w:ascii="Arial" w:hAnsi="Arial"/>
                <w:color w:val="auto"/>
                <w:spacing w:val="-7"/>
                <w:sz w:val="24"/>
                <w:szCs w:val="24"/>
              </w:rPr>
              <w:t xml:space="preserve"> </w:t>
            </w:r>
            <w:r>
              <w:rPr>
                <w:rFonts w:ascii="Arial" w:hAnsi="Arial"/>
                <w:color w:val="auto"/>
                <w:sz w:val="24"/>
                <w:szCs w:val="24"/>
              </w:rPr>
              <w:t>wewnętrznego</w:t>
            </w:r>
            <w:r>
              <w:rPr>
                <w:rFonts w:ascii="Arial" w:hAnsi="Arial"/>
                <w:color w:val="auto"/>
                <w:spacing w:val="-6"/>
                <w:sz w:val="24"/>
                <w:szCs w:val="24"/>
              </w:rPr>
              <w:t xml:space="preserve"> </w:t>
            </w:r>
            <w:r>
              <w:rPr>
                <w:rFonts w:ascii="Arial" w:hAnsi="Arial"/>
                <w:color w:val="auto"/>
                <w:sz w:val="24"/>
                <w:szCs w:val="24"/>
              </w:rPr>
              <w:t>oraz</w:t>
            </w:r>
            <w:r>
              <w:rPr>
                <w:rFonts w:ascii="Arial" w:hAnsi="Arial"/>
                <w:color w:val="auto"/>
                <w:spacing w:val="-6"/>
                <w:sz w:val="24"/>
                <w:szCs w:val="24"/>
              </w:rPr>
              <w:t xml:space="preserve"> </w:t>
            </w:r>
            <w:r>
              <w:rPr>
                <w:rFonts w:ascii="Arial" w:hAnsi="Arial"/>
                <w:color w:val="auto"/>
                <w:sz w:val="24"/>
                <w:szCs w:val="24"/>
              </w:rPr>
              <w:t>stan</w:t>
            </w:r>
            <w:r>
              <w:rPr>
                <w:rFonts w:ascii="Arial" w:hAnsi="Arial"/>
                <w:color w:val="auto"/>
                <w:spacing w:val="-6"/>
                <w:sz w:val="24"/>
                <w:szCs w:val="24"/>
              </w:rPr>
              <w:t xml:space="preserve"> </w:t>
            </w:r>
            <w:r>
              <w:rPr>
                <w:rFonts w:ascii="Arial" w:hAnsi="Arial"/>
                <w:color w:val="auto"/>
                <w:sz w:val="24"/>
                <w:szCs w:val="24"/>
              </w:rPr>
              <w:t>końcowy,</w:t>
            </w:r>
            <w:r>
              <w:rPr>
                <w:rFonts w:ascii="Arial" w:hAnsi="Arial"/>
                <w:color w:val="auto"/>
                <w:spacing w:val="-6"/>
                <w:sz w:val="24"/>
                <w:szCs w:val="24"/>
              </w:rPr>
              <w:t xml:space="preserve"> </w:t>
            </w:r>
            <w:r>
              <w:rPr>
                <w:rFonts w:ascii="Arial" w:hAnsi="Arial"/>
                <w:color w:val="auto"/>
                <w:sz w:val="24"/>
                <w:szCs w:val="24"/>
              </w:rPr>
              <w:t>a</w:t>
            </w:r>
            <w:r>
              <w:rPr>
                <w:rFonts w:ascii="Arial" w:hAnsi="Arial"/>
                <w:color w:val="auto"/>
                <w:spacing w:val="-7"/>
                <w:sz w:val="24"/>
                <w:szCs w:val="24"/>
              </w:rPr>
              <w:t xml:space="preserve"> </w:t>
            </w:r>
            <w:r>
              <w:rPr>
                <w:rFonts w:ascii="Arial" w:hAnsi="Arial"/>
                <w:color w:val="auto"/>
                <w:sz w:val="24"/>
                <w:szCs w:val="24"/>
              </w:rPr>
              <w:t>dla</w:t>
            </w:r>
            <w:r>
              <w:rPr>
                <w:rFonts w:ascii="Arial" w:hAnsi="Arial"/>
                <w:color w:val="auto"/>
                <w:spacing w:val="-6"/>
                <w:sz w:val="24"/>
                <w:szCs w:val="24"/>
              </w:rPr>
              <w:t xml:space="preserve"> </w:t>
            </w:r>
            <w:r>
              <w:rPr>
                <w:rFonts w:ascii="Arial" w:hAnsi="Arial"/>
                <w:color w:val="auto"/>
                <w:sz w:val="24"/>
                <w:szCs w:val="24"/>
              </w:rPr>
              <w:t>majątku</w:t>
            </w:r>
            <w:r>
              <w:rPr>
                <w:rFonts w:ascii="Arial" w:hAnsi="Arial"/>
                <w:color w:val="auto"/>
                <w:spacing w:val="-7"/>
                <w:sz w:val="24"/>
                <w:szCs w:val="24"/>
              </w:rPr>
              <w:t xml:space="preserve"> </w:t>
            </w:r>
            <w:r>
              <w:rPr>
                <w:rFonts w:ascii="Arial" w:hAnsi="Arial"/>
                <w:color w:val="auto"/>
                <w:sz w:val="24"/>
                <w:szCs w:val="24"/>
              </w:rPr>
              <w:t>amortyzowanego</w:t>
            </w:r>
          </w:p>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podobne przedstawienie stanów i tytułów zmian dotychczasowej amortyzacji lub umorzenia</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1.2</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1.3</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1.4</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 gruntów użytkowanych wieczyście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1.5</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1.6.</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1.7.</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1.8.</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1.9.</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a)</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1 roku do 3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b)</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powyżej 3 do 5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c)</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powyżej 5 lat</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1.10.</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w:t>
            </w:r>
            <w:r>
              <w:rPr>
                <w:rFonts w:ascii="Arial" w:hAnsi="Arial"/>
                <w:color w:val="auto"/>
                <w:spacing w:val="1"/>
                <w:sz w:val="24"/>
                <w:szCs w:val="24"/>
              </w:rPr>
              <w:t xml:space="preserve"> </w:t>
            </w:r>
            <w:r>
              <w:rPr>
                <w:rFonts w:ascii="Arial" w:hAnsi="Arial"/>
                <w:color w:val="auto"/>
                <w:sz w:val="24"/>
                <w:szCs w:val="24"/>
              </w:rPr>
              <w:t>sytuacji</w:t>
            </w:r>
            <w:r>
              <w:rPr>
                <w:rFonts w:ascii="Arial" w:hAnsi="Arial"/>
                <w:color w:val="auto"/>
                <w:spacing w:val="1"/>
                <w:sz w:val="24"/>
                <w:szCs w:val="24"/>
              </w:rPr>
              <w:t xml:space="preserve"> </w:t>
            </w:r>
            <w:r>
              <w:rPr>
                <w:rFonts w:ascii="Arial" w:hAnsi="Arial"/>
                <w:color w:val="auto"/>
                <w:sz w:val="24"/>
                <w:szCs w:val="24"/>
              </w:rPr>
              <w:t>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w:t>
            </w:r>
            <w:r>
              <w:rPr>
                <w:rFonts w:ascii="Arial" w:hAnsi="Arial"/>
                <w:color w:val="auto"/>
                <w:spacing w:val="-2"/>
                <w:sz w:val="24"/>
                <w:szCs w:val="24"/>
              </w:rPr>
              <w:t xml:space="preserve"> </w:t>
            </w:r>
            <w:r>
              <w:rPr>
                <w:rFonts w:ascii="Arial" w:hAnsi="Arial"/>
                <w:color w:val="auto"/>
                <w:sz w:val="24"/>
                <w:szCs w:val="24"/>
              </w:rPr>
              <w:t>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1.11.</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1.12.</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1.13.</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olor w:val="auto"/>
                <w:sz w:val="24"/>
                <w:szCs w:val="24"/>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1.14.</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łączną kwotę otrzymanych przez jednostkę gwarancji i poręczeń niewykazanych w bilansie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1.15.</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kwotę wypłaconych środków pieniężnych na świadczenia pracownicze 179 600,06 zł.</w:t>
            </w:r>
          </w:p>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1.16.</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color w:val="2E2014"/>
                <w:sz w:val="20"/>
                <w:szCs w:val="20"/>
              </w:rPr>
            </w:pPr>
            <w:r>
              <w:rPr>
                <w:rFonts w:ascii="Arial" w:hAnsi="Arial"/>
                <w:color w:val="auto"/>
                <w:sz w:val="24"/>
                <w:szCs w:val="24"/>
              </w:rPr>
              <w:t>Umorzenie pozostałych środków trwałych – 1 021 084,08</w:t>
            </w:r>
            <w:r>
              <w:rPr>
                <w:rFonts w:ascii="Arial" w:hAnsi="Arial"/>
                <w:b/>
                <w:color w:val="auto"/>
                <w:sz w:val="24"/>
                <w:szCs w:val="24"/>
              </w:rPr>
              <w:t xml:space="preserve"> zł.</w:t>
            </w:r>
          </w:p>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Umorzenie zbiorów bibliotecznych –               77 571,09</w:t>
            </w:r>
            <w:r>
              <w:rPr>
                <w:rFonts w:ascii="Arial" w:hAnsi="Arial"/>
                <w:b/>
                <w:color w:val="auto"/>
                <w:sz w:val="24"/>
                <w:szCs w:val="24"/>
              </w:rPr>
              <w:t xml:space="preserve"> zł.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2.</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2.1.</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wysokość odpisów aktualizujących wartość zapasów</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2.2.</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wystąpił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olor w:val="auto"/>
                <w:sz w:val="24"/>
                <w:szCs w:val="24"/>
              </w:rPr>
            </w:pPr>
            <w:r>
              <w:rPr>
                <w:rFonts w:ascii="Arial" w:hAnsi="Arial"/>
                <w:color w:val="auto"/>
                <w:sz w:val="24"/>
                <w:szCs w:val="24"/>
              </w:rPr>
              <w:t>2.3.</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Fundusz Pomocy Obywatelom Ukrainy – 119 876,04 zł</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2.4.</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olor w:val="auto"/>
                <w:sz w:val="24"/>
                <w:szCs w:val="24"/>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b/>
                <w:b/>
                <w:sz w:val="24"/>
                <w:szCs w:val="24"/>
              </w:rPr>
            </w:pPr>
            <w:r>
              <w:rPr>
                <w:rFonts w:ascii="Arial" w:hAnsi="Arial"/>
                <w:b/>
                <w:color w:val="auto"/>
                <w:sz w:val="24"/>
                <w:szCs w:val="24"/>
              </w:rPr>
              <w:t xml:space="preserve"> </w:t>
            </w:r>
            <w:r>
              <w:rPr>
                <w:rFonts w:ascii="Arial" w:hAnsi="Arial"/>
                <w:color w:val="auto"/>
                <w:sz w:val="24"/>
                <w:szCs w:val="24"/>
              </w:rPr>
              <w:t>nie dotyczy</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2.5.</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inne informacje</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olor w:val="auto"/>
                <w:sz w:val="24"/>
                <w:szCs w:val="24"/>
              </w:rPr>
            </w:pPr>
            <w:r>
              <w:rPr>
                <w:rFonts w:ascii="Arial" w:hAnsi="Arial"/>
                <w:color w:val="auto"/>
                <w:sz w:val="24"/>
                <w:szCs w:val="24"/>
              </w:rPr>
              <w:t>3.</w:t>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56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left="40" w:right="-20" w:hanging="0"/>
              <w:rPr>
                <w:sz w:val="16"/>
                <w:szCs w:val="16"/>
              </w:rPr>
            </w:pPr>
            <w:r>
              <w:rPr>
                <w:rFonts w:ascii="Arial" w:hAnsi="Arial"/>
                <w:color w:val="auto"/>
                <w:position w:val="0"/>
                <w:sz w:val="24"/>
                <w:szCs w:val="24"/>
              </w:rPr>
              <w:t>..........................................</w:t>
            </w:r>
          </w:p>
        </w:tc>
        <w:tc>
          <w:tcPr>
            <w:tcW w:w="3890"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rPr>
          <w:rFonts w:ascii="Arial" w:hAnsi="Arial"/>
          <w:b/>
          <w:b/>
          <w:color w:val="auto"/>
          <w:sz w:val="24"/>
          <w:szCs w:val="24"/>
        </w:rPr>
      </w:pPr>
      <w:r>
        <w:rPr>
          <w:rFonts w:ascii="Arial" w:hAnsi="Arial"/>
          <w:b/>
          <w:color w:val="auto"/>
          <w:sz w:val="24"/>
          <w:szCs w:val="24"/>
        </w:rPr>
      </w:r>
    </w:p>
    <w:p>
      <w:pPr>
        <w:pStyle w:val="Normal"/>
        <w:spacing w:before="0" w:after="160"/>
        <w:rPr>
          <w:rFonts w:ascii="Arial" w:hAnsi="Arial"/>
          <w:color w:val="auto"/>
          <w:sz w:val="24"/>
          <w:szCs w:val="24"/>
        </w:rPr>
      </w:pPr>
      <w:r>
        <w:rPr>
          <w:rFonts w:ascii="Arial" w:hAnsi="Arial"/>
          <w:color w:val="auto"/>
          <w:sz w:val="24"/>
          <w:szCs w:val="24"/>
        </w:rPr>
        <w:t>Sporządził:</w:t>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1140"/>
        </w:tabs>
        <w:ind w:left="1140" w:hanging="360"/>
      </w:pPr>
      <w:rPr>
        <w:rFonts w:ascii="Symbol" w:hAnsi="Symbol" w:cs="Symbol" w:hint="default"/>
        <w:rFonts w:cs="OpenSymbol"/>
      </w:rPr>
    </w:lvl>
    <w:lvl w:ilvl="1">
      <w:start w:val="1"/>
      <w:numFmt w:val="bullet"/>
      <w:lvlText w:val="◦"/>
      <w:lvlJc w:val="left"/>
      <w:pPr>
        <w:tabs>
          <w:tab w:val="num" w:pos="1500"/>
        </w:tabs>
        <w:ind w:left="1500" w:hanging="360"/>
      </w:pPr>
      <w:rPr>
        <w:rFonts w:ascii="OpenSymbol" w:hAnsi="OpenSymbol" w:cs="OpenSymbol" w:hint="default"/>
        <w:rFonts w:cs="OpenSymbol"/>
      </w:rPr>
    </w:lvl>
    <w:lvl w:ilvl="2">
      <w:start w:val="1"/>
      <w:numFmt w:val="bullet"/>
      <w:lvlText w:val="▪"/>
      <w:lvlJc w:val="left"/>
      <w:pPr>
        <w:tabs>
          <w:tab w:val="num" w:pos="1860"/>
        </w:tabs>
        <w:ind w:left="1860" w:hanging="360"/>
      </w:pPr>
      <w:rPr>
        <w:rFonts w:ascii="OpenSymbol" w:hAnsi="OpenSymbol" w:cs="OpenSymbol" w:hint="default"/>
        <w:rFonts w:cs="OpenSymbol"/>
      </w:rPr>
    </w:lvl>
    <w:lvl w:ilvl="3">
      <w:start w:val="1"/>
      <w:numFmt w:val="bullet"/>
      <w:lvlText w:val=""/>
      <w:lvlJc w:val="left"/>
      <w:pPr>
        <w:tabs>
          <w:tab w:val="num" w:pos="2220"/>
        </w:tabs>
        <w:ind w:left="2220" w:hanging="360"/>
      </w:pPr>
      <w:rPr>
        <w:rFonts w:ascii="Symbol" w:hAnsi="Symbol" w:cs="Symbol" w:hint="default"/>
        <w:rFonts w:cs="OpenSymbol"/>
      </w:rPr>
    </w:lvl>
    <w:lvl w:ilvl="4">
      <w:start w:val="1"/>
      <w:numFmt w:val="bullet"/>
      <w:lvlText w:val="◦"/>
      <w:lvlJc w:val="left"/>
      <w:pPr>
        <w:tabs>
          <w:tab w:val="num" w:pos="2580"/>
        </w:tabs>
        <w:ind w:left="2580" w:hanging="360"/>
      </w:pPr>
      <w:rPr>
        <w:rFonts w:ascii="OpenSymbol" w:hAnsi="OpenSymbol" w:cs="OpenSymbol" w:hint="default"/>
        <w:rFonts w:cs="OpenSymbol"/>
      </w:rPr>
    </w:lvl>
    <w:lvl w:ilvl="5">
      <w:start w:val="1"/>
      <w:numFmt w:val="bullet"/>
      <w:lvlText w:val="▪"/>
      <w:lvlJc w:val="left"/>
      <w:pPr>
        <w:tabs>
          <w:tab w:val="num" w:pos="2940"/>
        </w:tabs>
        <w:ind w:left="2940" w:hanging="360"/>
      </w:pPr>
      <w:rPr>
        <w:rFonts w:ascii="OpenSymbol" w:hAnsi="OpenSymbol" w:cs="OpenSymbol" w:hint="default"/>
        <w:rFonts w:cs="OpenSymbol"/>
      </w:rPr>
    </w:lvl>
    <w:lvl w:ilvl="6">
      <w:start w:val="1"/>
      <w:numFmt w:val="bullet"/>
      <w:lvlText w:val=""/>
      <w:lvlJc w:val="left"/>
      <w:pPr>
        <w:tabs>
          <w:tab w:val="num" w:pos="3300"/>
        </w:tabs>
        <w:ind w:left="3300" w:hanging="360"/>
      </w:pPr>
      <w:rPr>
        <w:rFonts w:ascii="Symbol" w:hAnsi="Symbol" w:cs="Symbol" w:hint="default"/>
        <w:rFonts w:cs="OpenSymbol"/>
      </w:rPr>
    </w:lvl>
    <w:lvl w:ilvl="7">
      <w:start w:val="1"/>
      <w:numFmt w:val="bullet"/>
      <w:lvlText w:val="◦"/>
      <w:lvlJc w:val="left"/>
      <w:pPr>
        <w:tabs>
          <w:tab w:val="num" w:pos="3660"/>
        </w:tabs>
        <w:ind w:left="3660" w:hanging="360"/>
      </w:pPr>
      <w:rPr>
        <w:rFonts w:ascii="OpenSymbol" w:hAnsi="OpenSymbol" w:cs="OpenSymbol" w:hint="default"/>
        <w:rFonts w:cs="OpenSymbol"/>
      </w:rPr>
    </w:lvl>
    <w:lvl w:ilvl="8">
      <w:start w:val="1"/>
      <w:numFmt w:val="bullet"/>
      <w:lvlText w:val="▪"/>
      <w:lvlJc w:val="left"/>
      <w:pPr>
        <w:tabs>
          <w:tab w:val="num" w:pos="4020"/>
        </w:tabs>
        <w:ind w:left="402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404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NagwekZnak" w:customStyle="1">
    <w:name w:val="Nagłówek Znak"/>
    <w:basedOn w:val="DefaultParagraphFont"/>
    <w:link w:val="Nagwek"/>
    <w:uiPriority w:val="99"/>
    <w:qFormat/>
    <w:rsid w:val="00471f66"/>
    <w:rPr/>
  </w:style>
  <w:style w:type="character" w:styleId="StopkaZnak" w:customStyle="1">
    <w:name w:val="Stopka Znak"/>
    <w:basedOn w:val="DefaultParagraphFont"/>
    <w:link w:val="Stopka"/>
    <w:uiPriority w:val="99"/>
    <w:qFormat/>
    <w:rsid w:val="00471f66"/>
    <w:rPr/>
  </w:style>
  <w:style w:type="character" w:styleId="ListLabel1">
    <w:name w:val="ListLabel 1"/>
    <w:qFormat/>
    <w:rPr>
      <w:rFonts w:ascii="Arial Narrow" w:hAnsi="Arial Narrow" w:eastAsia="Times New Roman" w:cs="Times New Roman"/>
    </w:rPr>
  </w:style>
  <w:style w:type="character" w:styleId="ListLabel2">
    <w:name w:val="ListLabel 2"/>
    <w:qFormat/>
    <w:rPr>
      <w:rFonts w:ascii="Arial Narrow" w:hAnsi="Arial Narrow"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471f66"/>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471f66"/>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5C27-EDE8-488F-A2B8-A6003AAE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LibreOffice/6.2.3.2$Windows_x86 LibreOffice_project/aecc05fe267cc68dde00352a451aa867b3b546ac</Application>
  <Pages>12</Pages>
  <Words>3371</Words>
  <Characters>21663</Characters>
  <CharactersWithSpaces>25437</CharactersWithSpaces>
  <Paragraphs>457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2025-05-05T08:54:00Z</dcterms:created>
  <dc:creator>Marietta Ulatowska</dc:creator>
  <dc:description/>
  <cp:keywords>Informacja dodatkowa</cp:keywords>
  <dc:language>pl-PL</dc:language>
  <cp:lastModifiedBy/>
  <cp:lastPrinted>2025-02-28T07:44:00Z</cp:lastPrinted>
  <dcterms:modified xsi:type="dcterms:W3CDTF">2025-05-07T08:52:06Z</dcterms:modified>
  <cp:revision>3</cp:revision>
  <dc:subject/>
  <dc:title>SP 12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