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Style w:val="Tabela-Siatka"/>
        <w:tblW w:w="15471" w:type="dxa"/>
        <w:jc w:val="left"/>
        <w:tblInd w:w="0" w:type="dxa"/>
        <w:tblCellMar>
          <w:top w:w="0" w:type="dxa"/>
          <w:left w:w="108" w:type="dxa"/>
          <w:bottom w:w="0" w:type="dxa"/>
          <w:right w:w="108" w:type="dxa"/>
        </w:tblCellMar>
        <w:tblLook w:firstRow="1" w:noVBand="1" w:lastRow="0" w:firstColumn="1" w:lastColumn="0" w:noHBand="0" w:val="04a0"/>
      </w:tblPr>
      <w:tblGrid>
        <w:gridCol w:w="620"/>
        <w:gridCol w:w="14850"/>
      </w:tblGrid>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I.</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b/>
                <w:bCs/>
                <w:color w:val="auto"/>
                <w:sz w:val="24"/>
                <w:szCs w:val="24"/>
              </w:rPr>
              <w:t>Wprowadzenie do sprawozdania finansowego, obejmuje w szczególności:</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1.</w:t>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1.1</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nazwę jednostki</w:t>
            </w:r>
          </w:p>
        </w:tc>
      </w:tr>
      <w:tr>
        <w:trPr/>
        <w:tc>
          <w:tcPr>
            <w:tcW w:w="62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Szkoła Podstawowa nr  2 im. Polskich Olimpijczyków we Włocławku</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1.2</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siedzibę jednostki</w:t>
            </w:r>
          </w:p>
        </w:tc>
      </w:tr>
      <w:tr>
        <w:trPr/>
        <w:tc>
          <w:tcPr>
            <w:tcW w:w="62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Ul. Żytnia 47,   87-800 Włocławek</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1.3</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adres jednostki</w:t>
            </w:r>
          </w:p>
        </w:tc>
      </w:tr>
      <w:tr>
        <w:trPr/>
        <w:tc>
          <w:tcPr>
            <w:tcW w:w="62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Ul. Żytnia 47,   87-800 Włocławek</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1.4</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podstawowy przedmiot działalności jednostki</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50" w:type="dxa"/>
            <w:tcBorders/>
            <w:shd w:fill="auto" w:val="clear"/>
          </w:tcPr>
          <w:p>
            <w:pPr>
              <w:pStyle w:val="Normal"/>
              <w:spacing w:lineRule="auto" w:line="240" w:before="0" w:after="0"/>
              <w:rPr>
                <w:rFonts w:ascii="Arial" w:hAnsi="Arial"/>
                <w:color w:val="auto"/>
                <w:sz w:val="24"/>
                <w:szCs w:val="24"/>
              </w:rPr>
            </w:pPr>
            <w:r>
              <w:rPr>
                <w:rFonts w:cs="TimesNewRomanPSMT" w:ascii="Arial" w:hAnsi="Arial"/>
                <w:color w:val="auto"/>
                <w:sz w:val="24"/>
                <w:szCs w:val="24"/>
              </w:rPr>
              <w:t>Podstawę prawną działalności Szkoły Podstawowej nr 2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Szkoły Podstawowej nr 2.</w: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2.</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wskazanie okresu objętego sprawozdaniem</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01 stycznia 2024 -31 grudnia 2024</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3.</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4.</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2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50"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Zasady amortyzacji (umorzenia) środków trwałych i wartości niematerialnych i prawnych.</w:t>
            </w:r>
          </w:p>
          <w:p>
            <w:pPr>
              <w:pStyle w:val="Normal"/>
              <w:spacing w:lineRule="auto" w:line="240" w:before="0" w:after="0"/>
              <w:jc w:val="both"/>
              <w:rPr>
                <w:rFonts w:ascii="Arial" w:hAnsi="Arial"/>
                <w:color w:val="auto"/>
                <w:sz w:val="24"/>
                <w:szCs w:val="24"/>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w:hAnsi="Arial"/>
                <w:color w:val="auto"/>
                <w:sz w:val="24"/>
                <w:szCs w:val="24"/>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w:hAnsi="Arial"/>
                <w:color w:val="auto"/>
                <w:sz w:val="24"/>
                <w:szCs w:val="24"/>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dydaktyczne służące procesowi dydaktyczno-wychowawczemu realizowanemu w szkołach 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Zapisy w księgach rachunkowych dokonuje się na podstawie dowodów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8"/>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Dochody i wydatki budżetowe klasyfikuje się według:</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Szczególnie dowodami zastępczymi dokumentowane są:</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różne opłaty (sądowe itp.),</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pokwitowania za parkingi</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przejazdy autostradami,</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abonament radiowo-telewizyjny,</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opłaty za udział w targach szkół i placówek,</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pokwitowanie za listy polecone,</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podatek od nieruchomości,</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podatek od środków transportu,</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bilety przy delegacjach służbowych.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numPr>
                <w:ilvl w:val="0"/>
                <w:numId w:val="0"/>
              </w:numPr>
              <w:spacing w:lineRule="auto" w:line="240" w:before="0" w:after="120"/>
              <w:ind w:left="720" w:hanging="0"/>
              <w:jc w:val="both"/>
              <w:rPr>
                <w:rFonts w:ascii="Arial" w:hAnsi="Arial"/>
                <w:color w:val="auto"/>
                <w:sz w:val="24"/>
                <w:szCs w:val="24"/>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3"/>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3"/>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3"/>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3"/>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3"/>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15"/>
              </w:numPr>
              <w:spacing w:lineRule="auto" w:line="240" w:before="0" w:after="0"/>
              <w:jc w:val="both"/>
              <w:rPr>
                <w:rFonts w:ascii="Arial" w:hAnsi="Arial"/>
                <w:color w:val="auto"/>
                <w:sz w:val="24"/>
                <w:szCs w:val="24"/>
              </w:rPr>
            </w:pPr>
            <w:r>
              <w:rPr>
                <w:rFonts w:eastAsia="Times New Roman" w:cs="Times New Roman" w:ascii="Arial" w:hAnsi="Arial"/>
                <w:color w:val="auto"/>
                <w:sz w:val="24"/>
                <w:szCs w:val="24"/>
                <w:lang w:eastAsia="pl-PL"/>
              </w:rPr>
              <w:t xml:space="preserve"> </w:t>
            </w:r>
            <w:r>
              <w:rPr>
                <w:rFonts w:eastAsia="Times New Roman" w:cs="Times New Roman"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 W celu realizacji MPP (Mechanizm Podzielonej Płatności)</w:t>
            </w:r>
            <w:r>
              <w:rPr>
                <w:rFonts w:eastAsia="Times New Roman" w:cs="Times New Roman" w:ascii="Arial" w:hAnsi="Arial"/>
                <w:b/>
                <w:bCs/>
                <w:color w:val="auto"/>
                <w:sz w:val="24"/>
                <w:szCs w:val="24"/>
                <w:lang w:eastAsia="pl-PL"/>
              </w:rPr>
              <w:t xml:space="preserve">  </w:t>
            </w:r>
            <w:r>
              <w:rPr>
                <w:rFonts w:eastAsia="Times New Roman" w:cs="Times New Roman" w:ascii="Arial" w:hAnsi="Arial"/>
                <w:color w:val="auto"/>
                <w:sz w:val="24"/>
                <w:szCs w:val="24"/>
                <w:lang w:eastAsia="pl-PL"/>
              </w:rPr>
              <w:t xml:space="preserve">wydzielono w księgach rachunkowych dodatkowe konta analityczne " VAT".   </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19"/>
              </w:numPr>
              <w:spacing w:lineRule="auto" w:line="240" w:before="0" w:after="0"/>
              <w:rPr>
                <w:rFonts w:ascii="Arial" w:hAnsi="Arial"/>
                <w:color w:val="auto"/>
                <w:sz w:val="24"/>
                <w:szCs w:val="24"/>
              </w:rPr>
            </w:pPr>
            <w:r>
              <w:rPr>
                <w:rFonts w:cs="Calibri" w:ascii="Arial" w:hAnsi="Arial" w:cstheme="minorHAnsi"/>
                <w:color w:val="auto"/>
                <w:sz w:val="24"/>
                <w:szCs w:val="24"/>
              </w:rPr>
              <w:t xml:space="preserve">Vulcan aplikacja Finanse VULCAN wersja zgodna z aktualizacjami programu - firma Vulcan Sp.z o.o. ul. Wołowska 6, 51-116 Wrocław. Administratorem platformy systemu Vulcan jest Gmina Miasto Włocławek. </w:t>
            </w:r>
          </w:p>
        </w:tc>
      </w:tr>
      <w:tr>
        <w:trPr/>
        <w:tc>
          <w:tcPr>
            <w:tcW w:w="620" w:type="dxa"/>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5.</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inne informacje</w:t>
            </w:r>
          </w:p>
        </w:tc>
      </w:tr>
      <w:tr>
        <w:trPr>
          <w:trHeight w:val="1359" w:hRule="atLeast"/>
        </w:trPr>
        <w:tc>
          <w:tcPr>
            <w:tcW w:w="620"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shd w:fill="auto" w:val="clear"/>
          </w:tcPr>
          <w:p>
            <w:pPr>
              <w:pStyle w:val="Normal"/>
              <w:spacing w:lineRule="auto" w:line="240" w:before="0" w:after="0"/>
              <w:rPr>
                <w:rFonts w:ascii="Arial" w:hAnsi="Arial"/>
                <w:color w:val="auto"/>
                <w:sz w:val="24"/>
                <w:szCs w:val="24"/>
              </w:rPr>
            </w:pPr>
            <w:r>
              <w:rPr>
                <w:rFonts w:cs="Calibri" w:ascii="Arial" w:hAnsi="Arial" w:cstheme="minorHAnsi"/>
                <w:b/>
                <w:color w:val="auto"/>
                <w:sz w:val="24"/>
                <w:szCs w:val="24"/>
              </w:rPr>
              <w:t>II.</w:t>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b/>
                <w:bCs/>
                <w:color w:val="auto"/>
                <w:sz w:val="24"/>
                <w:szCs w:val="24"/>
              </w:rPr>
              <w:t>Dodatkowe informacje i objaśnienia obejmują w szczególności:</w:t>
            </w:r>
          </w:p>
        </w:tc>
      </w:tr>
      <w:tr>
        <w:trPr/>
        <w:tc>
          <w:tcPr>
            <w:tcW w:w="620" w:type="dxa"/>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w:t>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1.1</w:t>
            </w:r>
          </w:p>
        </w:tc>
        <w:tc>
          <w:tcPr>
            <w:tcW w:w="14850" w:type="dxa"/>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rHeight w:val="509" w:hRule="atLeast"/>
        </w:trPr>
        <w:tc>
          <w:tcPr>
            <w:tcW w:w="620"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10198" w:hRule="atLeast"/>
          <w:cantSplit w:val="true"/>
        </w:trPr>
        <w:tc>
          <w:tcPr>
            <w:tcW w:w="620"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bl>
            <w:tblPr>
              <w:tblW w:w="14645" w:type="dxa"/>
              <w:jc w:val="left"/>
              <w:tblInd w:w="0" w:type="dxa"/>
              <w:tblCellMar>
                <w:top w:w="0" w:type="dxa"/>
                <w:left w:w="70" w:type="dxa"/>
                <w:bottom w:w="0" w:type="dxa"/>
                <w:right w:w="70" w:type="dxa"/>
              </w:tblCellMar>
              <w:tblLook w:firstRow="1" w:noVBand="1" w:lastRow="0" w:firstColumn="1" w:lastColumn="0" w:noHBand="0" w:val="04a0"/>
            </w:tblPr>
            <w:tblGrid>
              <w:gridCol w:w="248"/>
              <w:gridCol w:w="1045"/>
              <w:gridCol w:w="840"/>
              <w:gridCol w:w="459"/>
              <w:gridCol w:w="363"/>
              <w:gridCol w:w="334"/>
              <w:gridCol w:w="1"/>
              <w:gridCol w:w="869"/>
              <w:gridCol w:w="1"/>
              <w:gridCol w:w="524"/>
              <w:gridCol w:w="746"/>
              <w:gridCol w:w="583"/>
              <w:gridCol w:w="4"/>
              <w:gridCol w:w="967"/>
              <w:gridCol w:w="4"/>
              <w:gridCol w:w="1003"/>
              <w:gridCol w:w="5"/>
              <w:gridCol w:w="867"/>
              <w:gridCol w:w="4"/>
              <w:gridCol w:w="387"/>
              <w:gridCol w:w="788"/>
              <w:gridCol w:w="619"/>
              <w:gridCol w:w="6"/>
              <w:gridCol w:w="842"/>
              <w:gridCol w:w="6"/>
              <w:gridCol w:w="530"/>
              <w:gridCol w:w="6"/>
              <w:gridCol w:w="915"/>
              <w:gridCol w:w="6"/>
              <w:gridCol w:w="832"/>
              <w:gridCol w:w="837"/>
            </w:tblGrid>
            <w:tr>
              <w:trPr>
                <w:trHeight w:val="330" w:hRule="atLeast"/>
              </w:trPr>
              <w:tc>
                <w:tcPr>
                  <w:tcW w:w="14641" w:type="dxa"/>
                  <w:gridSpan w:val="31"/>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u w:val="single"/>
                      <w:lang w:eastAsia="pl-PL"/>
                    </w:rPr>
                    <w:t xml:space="preserve">Główne składniki aktywów trwałych – </w:t>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tc>
            </w:tr>
            <w:tr>
              <w:trPr>
                <w:trHeight w:val="330" w:hRule="atLeast"/>
              </w:trPr>
              <w:tc>
                <w:tcPr>
                  <w:tcW w:w="14641" w:type="dxa"/>
                  <w:gridSpan w:val="31"/>
                  <w:tcBorders/>
                  <w:shd w:color="auto" w:fill="auto" w:val="clear"/>
                  <w:vAlign w:val="center"/>
                </w:tcPr>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tc>
            </w:tr>
            <w:tr>
              <w:trPr>
                <w:trHeight w:val="97" w:hRule="atLeast"/>
              </w:trPr>
              <w:tc>
                <w:tcPr>
                  <w:tcW w:w="248"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45"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0"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59"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63"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34"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70"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25"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46"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83"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71"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07"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72"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91"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88"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619"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8"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36"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21"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38" w:type="dxa"/>
                  <w:gridSpan w:val="2"/>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37"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r>
            <w:tr>
              <w:trPr>
                <w:trHeight w:val="330" w:hRule="atLeast"/>
              </w:trPr>
              <w:tc>
                <w:tcPr>
                  <w:tcW w:w="248"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45" w:type="dxa"/>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0"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459"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363"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334"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70"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25"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746"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83"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971"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1007"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72"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391"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788"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619"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48"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536"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921"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38" w:type="dxa"/>
                  <w:gridSpan w:val="2"/>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c>
                <w:tcPr>
                  <w:tcW w:w="837" w:type="dxa"/>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 </w:t>
                  </w:r>
                </w:p>
              </w:tc>
            </w:tr>
            <w:tr>
              <w:trPr>
                <w:trHeight w:val="330" w:hRule="atLeast"/>
              </w:trPr>
              <w:tc>
                <w:tcPr>
                  <w:tcW w:w="248"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45"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0"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5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63"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34"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70"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25"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46"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83"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71"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07"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72"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391"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88"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61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8"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36"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21"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38"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37"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r>
            <w:tr>
              <w:trPr>
                <w:trHeight w:val="510" w:hRule="atLeast"/>
              </w:trPr>
              <w:tc>
                <w:tcPr>
                  <w:tcW w:w="2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Lp</w:t>
                  </w:r>
                </w:p>
              </w:tc>
              <w:tc>
                <w:tcPr>
                  <w:tcW w:w="10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Nazwa grupy rodzajowej składnika aktywów trwałych</w:t>
                  </w:r>
                </w:p>
              </w:tc>
              <w:tc>
                <w:tcPr>
                  <w:tcW w:w="8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początkowa - stan na początek roku obrotowego</w:t>
                  </w:r>
                </w:p>
              </w:tc>
              <w:tc>
                <w:tcPr>
                  <w:tcW w:w="115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Zwiększenie wartości początkowej</w:t>
                  </w:r>
                </w:p>
              </w:tc>
              <w:tc>
                <w:tcPr>
                  <w:tcW w:w="8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zwiększenie wartości początkowej (4+5+6)</w:t>
                  </w:r>
                </w:p>
              </w:tc>
              <w:tc>
                <w:tcPr>
                  <w:tcW w:w="185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Zmniejszenie wartości początkowej</w:t>
                  </w:r>
                </w:p>
              </w:tc>
              <w:tc>
                <w:tcPr>
                  <w:tcW w:w="9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zmniejszenie wartości początkowej                                                                                                                              (8+9+10)</w:t>
                  </w:r>
                </w:p>
              </w:tc>
              <w:tc>
                <w:tcPr>
                  <w:tcW w:w="10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początkowa - stan na koniec roku obrotowego                                                                                                                                           (3+7-11)</w:t>
                  </w:r>
                </w:p>
              </w:tc>
              <w:tc>
                <w:tcPr>
                  <w:tcW w:w="871"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Umorzenie - stan na początek roku obrotowego</w:t>
                  </w:r>
                </w:p>
              </w:tc>
              <w:tc>
                <w:tcPr>
                  <w:tcW w:w="180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Zwiększenia w ciągu roku obrotowego</w:t>
                  </w:r>
                </w:p>
              </w:tc>
              <w:tc>
                <w:tcPr>
                  <w:tcW w:w="8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Ogółem zwiększenie umorzenia (14+15+16)</w:t>
                  </w:r>
                </w:p>
              </w:tc>
              <w:tc>
                <w:tcPr>
                  <w:tcW w:w="536"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Zmniejszenie umorzenia</w:t>
                  </w:r>
                </w:p>
              </w:tc>
              <w:tc>
                <w:tcPr>
                  <w:tcW w:w="92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Umorzenie - stan na koniec roku obrotowego                                                                                                 (13+17-18)</w:t>
                  </w:r>
                </w:p>
              </w:tc>
              <w:tc>
                <w:tcPr>
                  <w:tcW w:w="1669"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Wartość netto składników aktywów</w:t>
                  </w:r>
                </w:p>
              </w:tc>
            </w:tr>
            <w:tr>
              <w:trPr>
                <w:trHeight w:val="1695" w:hRule="atLeast"/>
              </w:trPr>
              <w:tc>
                <w:tcPr>
                  <w:tcW w:w="24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4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59" w:type="dxa"/>
                  <w:tcBorders>
                    <w:bottom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Aktualizacja</w:t>
                  </w:r>
                </w:p>
              </w:tc>
              <w:tc>
                <w:tcPr>
                  <w:tcW w:w="363"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Przychody</w:t>
                  </w:r>
                </w:p>
              </w:tc>
              <w:tc>
                <w:tcPr>
                  <w:tcW w:w="334" w:type="dxa"/>
                  <w:tcBorders>
                    <w:bottom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Przemieszczenie</w:t>
                  </w:r>
                </w:p>
              </w:tc>
              <w:tc>
                <w:tcPr>
                  <w:tcW w:w="870"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25" w:type="dxa"/>
                  <w:gridSpan w:val="2"/>
                  <w:tcBorders>
                    <w:bottom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Zbycie</w:t>
                  </w:r>
                </w:p>
              </w:tc>
              <w:tc>
                <w:tcPr>
                  <w:tcW w:w="74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Likwidacja</w:t>
                  </w:r>
                </w:p>
              </w:tc>
              <w:tc>
                <w:tcPr>
                  <w:tcW w:w="583" w:type="dxa"/>
                  <w:tcBorders>
                    <w:bottom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Inne</w:t>
                  </w:r>
                </w:p>
              </w:tc>
              <w:tc>
                <w:tcPr>
                  <w:tcW w:w="97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0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7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391" w:type="dxa"/>
                  <w:gridSpan w:val="2"/>
                  <w:tcBorders>
                    <w:bottom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Aktualizacja</w:t>
                  </w:r>
                </w:p>
              </w:tc>
              <w:tc>
                <w:tcPr>
                  <w:tcW w:w="788"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Amortyzacja za rok obrotowy</w:t>
                  </w:r>
                </w:p>
              </w:tc>
              <w:tc>
                <w:tcPr>
                  <w:tcW w:w="619" w:type="dxa"/>
                  <w:tcBorders>
                    <w:bottom w:val="single" w:sz="4" w:space="0" w:color="000000"/>
                  </w:tcBorders>
                  <w:shd w:color="auto" w:fill="auto" w:val="clear"/>
                  <w:textDirection w:val="btL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Inne</w:t>
                  </w:r>
                </w:p>
              </w:tc>
              <w:tc>
                <w:tcPr>
                  <w:tcW w:w="84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3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2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Stan na początek roku obrotowego                                                                                                                                                                           (3-13)</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color w:val="auto"/>
                      <w:sz w:val="24"/>
                      <w:szCs w:val="24"/>
                      <w:lang w:eastAsia="pl-PL"/>
                    </w:rPr>
                    <w:t>Stan na koniec roku obrotowego                                                                                                                                                                          (12-19)</w:t>
                  </w:r>
                </w:p>
              </w:tc>
            </w:tr>
            <w:tr>
              <w:trPr>
                <w:trHeight w:val="198" w:hRule="atLeast"/>
              </w:trPr>
              <w:tc>
                <w:tcPr>
                  <w:tcW w:w="2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w:t>
                  </w:r>
                </w:p>
              </w:tc>
              <w:tc>
                <w:tcPr>
                  <w:tcW w:w="84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3</w:t>
                  </w:r>
                </w:p>
              </w:tc>
              <w:tc>
                <w:tcPr>
                  <w:tcW w:w="4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4</w:t>
                  </w:r>
                </w:p>
              </w:tc>
              <w:tc>
                <w:tcPr>
                  <w:tcW w:w="36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5</w:t>
                  </w:r>
                </w:p>
              </w:tc>
              <w:tc>
                <w:tcPr>
                  <w:tcW w:w="33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6</w:t>
                  </w:r>
                </w:p>
              </w:tc>
              <w:tc>
                <w:tcPr>
                  <w:tcW w:w="870"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7</w:t>
                  </w:r>
                </w:p>
              </w:tc>
              <w:tc>
                <w:tcPr>
                  <w:tcW w:w="5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8</w:t>
                  </w:r>
                </w:p>
              </w:tc>
              <w:tc>
                <w:tcPr>
                  <w:tcW w:w="7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9</w:t>
                  </w:r>
                </w:p>
              </w:tc>
              <w:tc>
                <w:tcPr>
                  <w:tcW w:w="58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10</w:t>
                  </w:r>
                </w:p>
              </w:tc>
              <w:tc>
                <w:tcPr>
                  <w:tcW w:w="97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11</w:t>
                  </w:r>
                </w:p>
              </w:tc>
              <w:tc>
                <w:tcPr>
                  <w:tcW w:w="100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12</w:t>
                  </w:r>
                </w:p>
              </w:tc>
              <w:tc>
                <w:tcPr>
                  <w:tcW w:w="872"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13</w:t>
                  </w:r>
                </w:p>
              </w:tc>
              <w:tc>
                <w:tcPr>
                  <w:tcW w:w="39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14</w:t>
                  </w:r>
                </w:p>
              </w:tc>
              <w:tc>
                <w:tcPr>
                  <w:tcW w:w="78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15</w:t>
                  </w:r>
                </w:p>
              </w:tc>
              <w:tc>
                <w:tcPr>
                  <w:tcW w:w="61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16</w:t>
                  </w:r>
                </w:p>
              </w:tc>
              <w:tc>
                <w:tcPr>
                  <w:tcW w:w="84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17</w:t>
                  </w:r>
                </w:p>
              </w:tc>
              <w:tc>
                <w:tcPr>
                  <w:tcW w:w="53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18</w:t>
                  </w:r>
                </w:p>
              </w:tc>
              <w:tc>
                <w:tcPr>
                  <w:tcW w:w="92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19</w:t>
                  </w:r>
                </w:p>
              </w:tc>
              <w:tc>
                <w:tcPr>
                  <w:tcW w:w="83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20</w:t>
                  </w:r>
                </w:p>
              </w:tc>
              <w:tc>
                <w:tcPr>
                  <w:tcW w:w="83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i/>
                      <w:iCs/>
                      <w:color w:val="auto"/>
                      <w:sz w:val="24"/>
                      <w:szCs w:val="24"/>
                      <w:lang w:eastAsia="pl-PL"/>
                    </w:rPr>
                    <w:t>21</w:t>
                  </w:r>
                </w:p>
              </w:tc>
            </w:tr>
            <w:tr>
              <w:trPr>
                <w:trHeight w:val="792"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b/>
                      <w:bCs/>
                      <w:color w:val="auto"/>
                      <w:sz w:val="24"/>
                      <w:szCs w:val="24"/>
                      <w:lang w:eastAsia="pl-PL"/>
                    </w:rPr>
                    <w:t>1.</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Wartości niematerialne                          i prawne</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15 371,86</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15 371,86</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15 371,86</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15 371,86</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r>
            <w:tr>
              <w:trPr>
                <w:trHeight w:val="540"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olor w:val="auto"/>
                      <w:sz w:val="24"/>
                      <w:szCs w:val="24"/>
                    </w:rPr>
                  </w:pPr>
                  <w:r>
                    <w:rPr>
                      <w:rFonts w:eastAsia="Times New Roman" w:cs="Calibri" w:ascii="Arial" w:hAnsi="Arial"/>
                      <w:b/>
                      <w:bCs/>
                      <w:color w:val="auto"/>
                      <w:sz w:val="24"/>
                      <w:szCs w:val="24"/>
                      <w:lang w:eastAsia="pl-PL"/>
                    </w:rPr>
                    <w:t>2.</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b/>
                      <w:bCs/>
                      <w:color w:val="auto"/>
                      <w:sz w:val="24"/>
                      <w:szCs w:val="24"/>
                      <w:lang w:eastAsia="pl-PL"/>
                    </w:rPr>
                    <w:t>Środki trwałe</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6 591 972,31</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6 591 972,31</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3 145 341,69</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178 114,08</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178 114,08</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3 323 455,77</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3 446 630,62</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3 268 516,54</w:t>
                  </w:r>
                </w:p>
              </w:tc>
            </w:tr>
            <w:tr>
              <w:trPr>
                <w:trHeight w:val="405"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grunty</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461 400,00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461 400,00</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 </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461 400,00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461 400,00</w:t>
                  </w:r>
                </w:p>
              </w:tc>
            </w:tr>
            <w:tr>
              <w:trPr>
                <w:trHeight w:val="612"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budynki, lokale i obiekty inżynierii lądowej i wodnej</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5 889 853,75</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5 889 853,75</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2 918 698,13</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173 914,08</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173 914,08</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3 092 612,21</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2 971 155,62</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2 797 241,54</w:t>
                  </w:r>
                </w:p>
              </w:tc>
            </w:tr>
            <w:tr>
              <w:trPr>
                <w:trHeight w:val="612"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3)</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urządzenia techniczne i maszyny</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236 499,74</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236 499,74</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222 424,74</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4 200,00</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4 200,00</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226 624,74</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14 075,00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9 875,00</w:t>
                  </w:r>
                </w:p>
              </w:tc>
            </w:tr>
            <w:tr>
              <w:trPr>
                <w:trHeight w:val="276"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środki transportu</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r>
            <w:tr>
              <w:trPr>
                <w:trHeight w:val="276"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5)</w:t>
                  </w:r>
                </w:p>
              </w:tc>
              <w:tc>
                <w:tcPr>
                  <w:tcW w:w="10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inne środki trwałe</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4 218,82</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4 218,82</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4 218,82</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4 218,82</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color w:val="auto"/>
                      <w:sz w:val="24"/>
                      <w:szCs w:val="24"/>
                      <w:lang w:eastAsia="pl-PL"/>
                    </w:rPr>
                    <w:t>0,00</w:t>
                  </w:r>
                </w:p>
              </w:tc>
            </w:tr>
            <w:tr>
              <w:trPr>
                <w:trHeight w:val="288" w:hRule="atLeast"/>
              </w:trPr>
              <w:tc>
                <w:tcPr>
                  <w:tcW w:w="24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i/>
                      <w:iCs/>
                      <w:color w:val="auto"/>
                      <w:sz w:val="24"/>
                      <w:szCs w:val="24"/>
                      <w:lang w:eastAsia="pl-PL"/>
                    </w:rPr>
                    <w:t> </w:t>
                  </w:r>
                </w:p>
              </w:tc>
              <w:tc>
                <w:tcPr>
                  <w:tcW w:w="1045"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olor w:val="auto"/>
                      <w:sz w:val="24"/>
                      <w:szCs w:val="24"/>
                    </w:rPr>
                  </w:pPr>
                  <w:r>
                    <w:rPr>
                      <w:rFonts w:eastAsia="Times New Roman" w:cs="Calibri" w:ascii="Arial" w:hAnsi="Arial"/>
                      <w:color w:val="auto"/>
                      <w:sz w:val="24"/>
                      <w:szCs w:val="24"/>
                      <w:lang w:eastAsia="pl-PL"/>
                    </w:rPr>
                    <w:t> </w:t>
                  </w:r>
                </w:p>
              </w:tc>
              <w:tc>
                <w:tcPr>
                  <w:tcW w:w="8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6 607 344,17</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33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58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10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6 607 344,17</w:t>
                  </w:r>
                </w:p>
              </w:tc>
              <w:tc>
                <w:tcPr>
                  <w:tcW w:w="87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3 160 713,55</w:t>
                  </w:r>
                </w:p>
              </w:tc>
              <w:tc>
                <w:tcPr>
                  <w:tcW w:w="3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78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178 114,08</w:t>
                  </w:r>
                </w:p>
              </w:tc>
              <w:tc>
                <w:tcPr>
                  <w:tcW w:w="6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8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178 114,08</w:t>
                  </w:r>
                </w:p>
              </w:tc>
              <w:tc>
                <w:tcPr>
                  <w:tcW w:w="53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0,00</w:t>
                  </w:r>
                </w:p>
              </w:tc>
              <w:tc>
                <w:tcPr>
                  <w:tcW w:w="92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3 338 827,63</w:t>
                  </w:r>
                </w:p>
              </w:tc>
              <w:tc>
                <w:tcPr>
                  <w:tcW w:w="8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3 446 630,62</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olor w:val="auto"/>
                      <w:sz w:val="24"/>
                      <w:szCs w:val="24"/>
                    </w:rPr>
                  </w:pPr>
                  <w:r>
                    <w:rPr>
                      <w:rFonts w:eastAsia="Times New Roman" w:cs="Calibri" w:ascii="Arial" w:hAnsi="Arial"/>
                      <w:b/>
                      <w:bCs/>
                      <w:color w:val="auto"/>
                      <w:sz w:val="24"/>
                      <w:szCs w:val="24"/>
                      <w:lang w:eastAsia="pl-PL"/>
                    </w:rPr>
                    <w:t>3 268 516,54</w:t>
                  </w:r>
                </w:p>
              </w:tc>
            </w:tr>
          </w:tbl>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r>
          </w:p>
        </w:tc>
      </w:tr>
      <w:tr>
        <w:trPr>
          <w:trHeight w:val="557" w:hRule="atLeast"/>
          <w:cantSplit w:val="true"/>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1.2</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r>
          </w:p>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1.3</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1.4</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wartość gruntów użytkowanych wieczyście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1.5</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olor w:val="auto"/>
                <w:sz w:val="24"/>
                <w:szCs w:val="24"/>
              </w:rPr>
            </w:pPr>
            <w:r>
              <w:rPr>
                <w:rFonts w:ascii="Arial" w:hAnsi="Arial"/>
                <w:b/>
                <w:bCs/>
                <w:color w:val="auto"/>
                <w:sz w:val="24"/>
                <w:szCs w:val="24"/>
              </w:rPr>
              <w:t>250 362,09</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 xml:space="preserve">- umorzenie zbiorów bibliotecznych –                      </w:t>
            </w:r>
            <w:r>
              <w:rPr>
                <w:rFonts w:ascii="Arial" w:hAnsi="Arial"/>
                <w:b/>
                <w:bCs/>
                <w:color w:val="auto"/>
                <w:sz w:val="24"/>
                <w:szCs w:val="24"/>
              </w:rPr>
              <w:t>83 811,89</w:t>
            </w:r>
          </w:p>
          <w:p>
            <w:pPr>
              <w:pStyle w:val="Normal"/>
              <w:spacing w:lineRule="auto" w:line="240" w:before="0" w:after="0"/>
              <w:rPr>
                <w:rFonts w:ascii="Arial" w:hAnsi="Arial"/>
                <w:color w:val="auto"/>
                <w:sz w:val="24"/>
                <w:szCs w:val="24"/>
              </w:rPr>
            </w:pPr>
            <w:r>
              <w:rPr>
                <w:rFonts w:ascii="Arial" w:hAnsi="Arial"/>
                <w:color w:val="auto"/>
                <w:sz w:val="24"/>
                <w:szCs w:val="24"/>
              </w:rPr>
              <w:t>- umorzenie pozostałych środków trwałych –</w:t>
            </w:r>
            <w:r>
              <w:rPr>
                <w:rFonts w:ascii="Arial" w:hAnsi="Arial"/>
                <w:b/>
                <w:color w:val="auto"/>
                <w:sz w:val="24"/>
                <w:szCs w:val="24"/>
              </w:rPr>
              <w:t xml:space="preserve">   1 302 042,95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cs="Calibri" w:ascii="Arial" w:hAnsi="Arial" w:cstheme="minorHAnsi"/>
                <w:color w:val="auto"/>
                <w:sz w:val="24"/>
                <w:szCs w:val="24"/>
              </w:rPr>
              <w:t>2.</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p>
            <w:pPr>
              <w:pStyle w:val="Normal"/>
              <w:widowControl w:val="false"/>
              <w:spacing w:lineRule="auto" w:line="249" w:before="47" w:after="160"/>
              <w:ind w:right="40" w:hanging="0"/>
              <w:rPr>
                <w:rFonts w:ascii="Arial" w:hAnsi="Arial"/>
                <w:color w:val="auto"/>
                <w:sz w:val="24"/>
                <w:szCs w:val="24"/>
              </w:rPr>
            </w:pPr>
            <w:r>
              <w:rPr>
                <w:rFonts w:ascii="Arial" w:hAnsi="Arial"/>
                <w:b/>
                <w:bCs/>
                <w:color w:val="auto"/>
                <w:sz w:val="24"/>
                <w:szCs w:val="24"/>
              </w:rPr>
              <w:t xml:space="preserve">Fundusz Pomocy Ukrainie – 185 084,21 </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wystąpiły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position w:val="0"/>
                <w:sz w:val="24"/>
                <w:szCs w:val="24"/>
              </w:rPr>
              <w:t xml:space="preserve">    </w:t>
            </w:r>
            <w:r>
              <w:rPr>
                <w:rFonts w:ascii="Arial" w:hAnsi="Arial"/>
                <w:color w:val="auto"/>
                <w:position w:val="0"/>
                <w:sz w:val="24"/>
                <w:szCs w:val="24"/>
              </w:rPr>
              <w:t>2025-02-21</w:t>
            </w:r>
          </w:p>
        </w:tc>
        <w:tc>
          <w:tcPr>
            <w:tcW w:w="2867"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rFonts w:ascii="Arial" w:hAnsi="Arial"/>
                <w:color w:val="auto"/>
                <w:sz w:val="24"/>
                <w:szCs w:val="24"/>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rFonts w:ascii="Arial" w:hAnsi="Arial"/>
                <w:color w:val="auto"/>
                <w:sz w:val="24"/>
                <w:szCs w:val="24"/>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rFonts w:ascii="Arial" w:hAnsi="Arial"/>
                <w:color w:val="auto"/>
                <w:sz w:val="24"/>
                <w:szCs w:val="24"/>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0"/>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4">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BAA2-49DD-4457-BA9B-47F7CF69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Application>LibreOffice/6.2.3.2$Windows_x86 LibreOffice_project/aecc05fe267cc68dde00352a451aa867b3b546ac</Application>
  <Pages>11</Pages>
  <Words>3366</Words>
  <Characters>21638</Characters>
  <CharactersWithSpaces>25432</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2020-03-24T09:17:00Z</dcterms:created>
  <dc:creator>Marietta Ulatowska</dc:creator>
  <dc:description/>
  <cp:keywords>Informacja dodatkowa</cp:keywords>
  <dc:language>pl-PL</dc:language>
  <cp:lastModifiedBy/>
  <cp:lastPrinted>2022-03-28T09:38:00Z</cp:lastPrinted>
  <dcterms:modified xsi:type="dcterms:W3CDTF">2025-05-05T13:34:24Z</dcterms:modified>
  <cp:revision>36</cp:revision>
  <dc:subject/>
  <dc:title>SP2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