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left="4956" w:firstLine="708"/>
        <w:rPr>
          <w:rFonts w:ascii="Arial" w:hAnsi="Arial"/>
          <w:color w:val="auto"/>
          <w:sz w:val="24"/>
          <w:szCs w:val="24"/>
        </w:rPr>
      </w:pPr>
      <w:r>
        <w:rPr>
          <w:rFonts w:ascii="Arial" w:hAnsi="Arial"/>
          <w:b/>
          <w:color w:val="auto"/>
          <w:sz w:val="24"/>
          <w:szCs w:val="24"/>
        </w:rPr>
        <w:t>INFORMACJA DODATKOWA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70"/>
        <w:gridCol w:w="14565"/>
      </w:tblGrid>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b/>
                <w:b/>
                <w:sz w:val="20"/>
                <w:szCs w:val="20"/>
              </w:rPr>
            </w:pPr>
            <w:r>
              <w:rPr>
                <w:rFonts w:ascii="Arial" w:hAnsi="Arial"/>
                <w:b/>
                <w:color w:val="auto"/>
                <w:sz w:val="24"/>
                <w:szCs w:val="24"/>
              </w:rPr>
              <w:t>I.</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bCs/>
                <w:color w:val="2E2014"/>
                <w:sz w:val="20"/>
                <w:szCs w:val="20"/>
              </w:rPr>
            </w:pPr>
            <w:r>
              <w:rPr>
                <w:rFonts w:ascii="Arial" w:hAnsi="Arial"/>
                <w:b/>
                <w:bCs/>
                <w:color w:val="auto"/>
                <w:sz w:val="24"/>
                <w:szCs w:val="24"/>
              </w:rPr>
              <w:t>Wprowadzenie do sprawozdania finansowego, obejmuje w szczególności:</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1.1</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nazwę jednostki</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cs="Arial Narrow"/>
                <w:b/>
                <w:b/>
                <w:color w:val="auto"/>
                <w:sz w:val="24"/>
                <w:szCs w:val="24"/>
              </w:rPr>
            </w:pPr>
            <w:r>
              <w:rPr>
                <w:rFonts w:cs="Arial Narrow" w:ascii="Arial" w:hAnsi="Arial"/>
                <w:b/>
                <w:color w:val="auto"/>
                <w:sz w:val="24"/>
                <w:szCs w:val="24"/>
              </w:rPr>
            </w:r>
          </w:p>
          <w:p>
            <w:pPr>
              <w:pStyle w:val="Standard"/>
              <w:spacing w:lineRule="atLeast" w:line="100" w:before="0" w:after="0"/>
              <w:rPr>
                <w:rFonts w:ascii="Arial Narrow" w:hAnsi="Arial Narrow" w:cs="Arial Narrow"/>
                <w:b/>
                <w:b/>
              </w:rPr>
            </w:pPr>
            <w:r>
              <w:rPr>
                <w:rFonts w:cs="Arial Narrow" w:ascii="Arial" w:hAnsi="Arial"/>
                <w:b/>
                <w:color w:val="auto"/>
                <w:sz w:val="24"/>
                <w:szCs w:val="24"/>
              </w:rPr>
              <w:t>Przedszkole Publiczne nr 35</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1.2</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siedzibę jednostki</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p>
            <w:pPr>
              <w:pStyle w:val="Standard"/>
              <w:spacing w:lineRule="atLeast" w:line="100" w:before="0" w:after="0"/>
              <w:rPr>
                <w:b/>
                <w:b/>
                <w:sz w:val="24"/>
                <w:szCs w:val="24"/>
              </w:rPr>
            </w:pPr>
            <w:r>
              <w:rPr>
                <w:rFonts w:ascii="Arial" w:hAnsi="Arial"/>
                <w:b/>
                <w:color w:val="auto"/>
                <w:sz w:val="24"/>
                <w:szCs w:val="24"/>
              </w:rPr>
              <w:t>Włocławek, ul. 14 Pułku Piechoty 5</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1.3</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adres jednostki</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cs="Arial Narrow"/>
                <w:b/>
                <w:b/>
                <w:color w:val="auto"/>
                <w:sz w:val="24"/>
                <w:szCs w:val="24"/>
              </w:rPr>
            </w:pPr>
            <w:r>
              <w:rPr>
                <w:rFonts w:cs="Arial Narrow" w:ascii="Arial" w:hAnsi="Arial"/>
                <w:b/>
                <w:color w:val="auto"/>
                <w:sz w:val="24"/>
                <w:szCs w:val="24"/>
              </w:rPr>
            </w:r>
          </w:p>
          <w:p>
            <w:pPr>
              <w:pStyle w:val="Standard"/>
              <w:spacing w:lineRule="atLeast" w:line="100" w:before="0" w:after="0"/>
              <w:rPr>
                <w:rFonts w:ascii="Arial" w:hAnsi="Arial"/>
                <w:color w:val="auto"/>
                <w:sz w:val="24"/>
                <w:szCs w:val="24"/>
              </w:rPr>
            </w:pPr>
            <w:r>
              <w:rPr>
                <w:rFonts w:cs="Arial Narrow" w:ascii="Arial" w:hAnsi="Arial"/>
                <w:b/>
                <w:color w:val="auto"/>
                <w:sz w:val="24"/>
                <w:szCs w:val="24"/>
              </w:rPr>
              <w:t xml:space="preserve">Włocławek, </w:t>
            </w:r>
            <w:r>
              <w:rPr>
                <w:rFonts w:ascii="Arial" w:hAnsi="Arial"/>
                <w:b/>
                <w:color w:val="auto"/>
                <w:sz w:val="24"/>
                <w:szCs w:val="24"/>
              </w:rPr>
              <w:t>ul. 14 Pułku Piechoty 5</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1.4</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podstawowy przedmiot działalności jednostki</w:t>
            </w:r>
          </w:p>
        </w:tc>
      </w:tr>
      <w:tr>
        <w:trPr>
          <w:trHeight w:val="716" w:hRule="atLeast"/>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olor w:val="auto"/>
                <w:sz w:val="24"/>
                <w:szCs w:val="24"/>
              </w:rPr>
            </w:pPr>
            <w:r>
              <w:rPr>
                <w:rFonts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tLeast" w:line="100" w:before="0" w:after="0"/>
              <w:jc w:val="both"/>
              <w:rPr>
                <w:rFonts w:ascii="Arial Narrow" w:hAnsi="Arial Narrow" w:cs="Arial Narrow"/>
                <w:b/>
                <w:b/>
                <w:sz w:val="24"/>
                <w:szCs w:val="24"/>
              </w:rPr>
            </w:pPr>
            <w:r>
              <w:rPr>
                <w:rFonts w:cs="Arial Narrow" w:ascii="Arial" w:hAnsi="Arial"/>
                <w:b/>
                <w:color w:val="auto"/>
                <w:sz w:val="24"/>
                <w:szCs w:val="24"/>
              </w:rPr>
              <w:t>Podstawę prawną działalności Przedszkola Publicznego Nr 35 stanowi ustawa z dnia 14 grudnia 2016 r. Prawo Oświatowe (tekst jednolity Dz. U. z 2017 r. poz. 59) oraz wydane do niej przepisy wykonawcze oraz Statut Przedszkola Publicznego Nr 35.</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2.</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wskazanie okresu objętego sprawozdaniem</w:t>
            </w:r>
          </w:p>
        </w:tc>
      </w:tr>
      <w:tr>
        <w:trPr>
          <w:trHeight w:val="396" w:hRule="atLeast"/>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olor w:val="auto"/>
                <w:sz w:val="24"/>
                <w:szCs w:val="24"/>
              </w:rPr>
            </w:pPr>
            <w:r>
              <w:rPr>
                <w:rFonts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tLeast" w:line="100" w:before="0" w:after="0"/>
              <w:rPr>
                <w:rFonts w:ascii="Arial Narrow" w:hAnsi="Arial Narrow" w:cs="Arial Narrow"/>
                <w:b/>
                <w:b/>
              </w:rPr>
            </w:pPr>
            <w:r>
              <w:rPr>
                <w:rFonts w:cs="Arial Narrow" w:ascii="Arial" w:hAnsi="Arial"/>
                <w:b/>
                <w:color w:val="auto"/>
                <w:sz w:val="24"/>
                <w:szCs w:val="24"/>
              </w:rPr>
              <w:t>01 stycznia 2024 - 31 grudnia 2024</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3.</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rFonts w:ascii="Arial" w:hAnsi="Arial"/>
                <w:color w:val="auto"/>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olor w:val="auto"/>
                <w:sz w:val="24"/>
                <w:szCs w:val="24"/>
              </w:rPr>
            </w:pPr>
            <w:r>
              <w:rPr>
                <w:rFonts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4.</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rFonts w:ascii="Arial" w:hAnsi="Arial"/>
                <w:color w:val="auto"/>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numPr>
                <w:ilvl w:val="0"/>
                <w:numId w:val="5"/>
              </w:numPr>
              <w:spacing w:lineRule="atLeast" w:line="100" w:before="0" w:after="0"/>
              <w:ind w:left="196" w:hanging="196"/>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Środki trwałe w budowie wycenia się w wysokości ogółu kosztów pozostających w bezpośrednim związku z ich wytworzeniem.</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Rzeczowe składniki aktywów obrotowych wycenia się według cen nabycia lub kosztów wytworzenia nie wyższych od cen sprzedaży netto na dzień bilansowy.</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Należności wycenia się w kwocie wymagalnej zapłaty z zachowaniem zasady ostrożności.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Zobowiązania wycenia się w kwocie wymagającej zapłaty.</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Rezerwy wycenia się w uzasadnionej, wiarygodnie oszacowanej wartości.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Standard"/>
              <w:spacing w:lineRule="atLeast" w:line="100" w:before="0" w:after="0"/>
              <w:ind w:left="376" w:hanging="180"/>
              <w:jc w:val="both"/>
              <w:rPr>
                <w:rFonts w:ascii="Arial" w:hAnsi="Arial"/>
                <w:color w:val="auto"/>
                <w:sz w:val="24"/>
                <w:szCs w:val="24"/>
              </w:rPr>
            </w:pPr>
            <w:r>
              <w:rPr>
                <w:rFonts w:eastAsia="Arial Narrow" w:cs="Arial Narrow" w:ascii="Arial" w:hAnsi="Arial"/>
                <w:color w:val="auto"/>
                <w:sz w:val="24"/>
                <w:szCs w:val="24"/>
              </w:rPr>
              <w:t xml:space="preserve"> </w:t>
            </w:r>
            <w:r>
              <w:rPr>
                <w:rFonts w:cs="Arial Narrow"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Standard"/>
              <w:numPr>
                <w:ilvl w:val="0"/>
                <w:numId w:val="7"/>
              </w:numPr>
              <w:spacing w:lineRule="atLeast" w:line="100" w:before="0" w:after="0"/>
              <w:jc w:val="both"/>
              <w:rPr>
                <w:rFonts w:ascii="Arial" w:hAnsi="Arial"/>
                <w:color w:val="auto"/>
                <w:sz w:val="24"/>
                <w:szCs w:val="24"/>
              </w:rPr>
            </w:pPr>
            <w:r>
              <w:rPr>
                <w:rFonts w:cs="Arial Narrow" w:ascii="Arial" w:hAnsi="Arial"/>
                <w:color w:val="auto"/>
                <w:sz w:val="24"/>
                <w:szCs w:val="24"/>
              </w:rPr>
              <w:t>. Zasady amortyzacji (umorzenia) środków trwałych i wartości niematerialnych i prawnych.</w:t>
            </w:r>
          </w:p>
          <w:p>
            <w:pPr>
              <w:pStyle w:val="Standard"/>
              <w:spacing w:lineRule="atLeast" w:line="100" w:before="0" w:after="0"/>
              <w:ind w:left="196" w:hanging="0"/>
              <w:jc w:val="both"/>
              <w:rPr>
                <w:rFonts w:ascii="Arial Narrow" w:hAnsi="Arial Narrow" w:cs="Arial Narrow"/>
                <w:lang w:eastAsia="pl-PL"/>
              </w:rPr>
            </w:pPr>
            <w:r>
              <w:rPr>
                <w:rFonts w:cs="Arial Narrow"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Standard"/>
              <w:spacing w:lineRule="atLeast" w:line="100" w:before="0" w:after="0"/>
              <w:ind w:left="196" w:hanging="0"/>
              <w:jc w:val="both"/>
              <w:rPr>
                <w:rFonts w:ascii="Arial Narrow" w:hAnsi="Arial Narrow" w:cs="Arial Narrow"/>
                <w:lang w:eastAsia="pl-PL"/>
              </w:rPr>
            </w:pPr>
            <w:r>
              <w:rPr>
                <w:rFonts w:cs="Arial Narrow" w:ascii="Arial" w:hAnsi="Arial"/>
                <w:color w:val="auto"/>
                <w:sz w:val="24"/>
                <w:szCs w:val="24"/>
                <w:lang w:eastAsia="pl-PL"/>
              </w:rPr>
              <w:t>Meble, krzesła, dywany, wykładziny ewidencjonowane są na koncie 013 – pozostałe środki trwałe - bez względu na wartość.</w:t>
            </w:r>
          </w:p>
          <w:p>
            <w:pPr>
              <w:pStyle w:val="Standard"/>
              <w:spacing w:lineRule="atLeast" w:line="100" w:before="0" w:after="0"/>
              <w:ind w:left="196" w:hanging="0"/>
              <w:jc w:val="both"/>
              <w:rPr>
                <w:rFonts w:ascii="Arial Narrow" w:hAnsi="Arial Narrow" w:cs="Arial Narrow"/>
                <w:lang w:eastAsia="pl-PL"/>
              </w:rPr>
            </w:pPr>
            <w:r>
              <w:rPr>
                <w:rFonts w:cs="Arial Narrow"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Standard"/>
              <w:spacing w:lineRule="atLeast" w:line="100" w:before="0" w:after="0"/>
              <w:ind w:left="196" w:hanging="0"/>
              <w:jc w:val="both"/>
              <w:rPr>
                <w:rFonts w:ascii="Arial Narrow" w:hAnsi="Arial Narrow" w:cs="Arial Narrow"/>
              </w:rPr>
            </w:pPr>
            <w:r>
              <w:rPr>
                <w:rFonts w:cs="Arial Narrow" w:ascii="Arial" w:hAnsi="Arial"/>
                <w:color w:val="auto"/>
                <w:sz w:val="24"/>
                <w:szCs w:val="24"/>
              </w:rPr>
              <w:t>Przedmioty o okresie używania dłuższym niż rok o wartości od 300 zł do 10.000 zł. umarza się metodą uproszczoną, przez jednorazowy odpis w pełnej ich wartości w miesiącu zakupu i ujmuje się w ewidencji bilansowej na koncie 013 – pozostałe środki trwałe.</w:t>
            </w:r>
          </w:p>
          <w:p>
            <w:pPr>
              <w:pStyle w:val="Standard"/>
              <w:spacing w:lineRule="atLeast" w:line="100" w:before="0" w:after="0"/>
              <w:ind w:left="196" w:hanging="0"/>
              <w:jc w:val="both"/>
              <w:rPr>
                <w:rFonts w:ascii="Arial Narrow" w:hAnsi="Arial Narrow" w:cs="Arial Narrow"/>
              </w:rPr>
            </w:pPr>
            <w:r>
              <w:rPr>
                <w:rFonts w:cs="Arial Narrow" w:ascii="Arial" w:hAnsi="Arial"/>
                <w:color w:val="auto"/>
                <w:sz w:val="24"/>
                <w:szCs w:val="24"/>
              </w:rPr>
              <w:t>Ponadto, bez względu na wartość jednorazowo umarza się:</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Książki i inne zbiory biblioteczne.</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Środki dydaktyczne służące procesowi dydaktyczno-wychowawczemu realizowanemu w szkołach i placówkach oświatowych.</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Meble, dywany i wykładziny.</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w:t>
            </w:r>
          </w:p>
          <w:p>
            <w:pPr>
              <w:pStyle w:val="Standard"/>
              <w:spacing w:lineRule="atLeast" w:line="100" w:before="0" w:after="0"/>
              <w:ind w:left="376" w:hanging="180"/>
              <w:jc w:val="both"/>
              <w:rPr>
                <w:rFonts w:ascii="Arial" w:hAnsi="Arial"/>
                <w:color w:val="auto"/>
                <w:sz w:val="24"/>
                <w:szCs w:val="24"/>
              </w:rPr>
            </w:pPr>
            <w:r>
              <w:rPr>
                <w:rFonts w:eastAsia="Arial Narrow" w:cs="Arial Narrow" w:ascii="Arial" w:hAnsi="Arial"/>
                <w:color w:val="auto"/>
                <w:sz w:val="24"/>
                <w:szCs w:val="24"/>
              </w:rPr>
              <w:t xml:space="preserve"> </w:t>
            </w:r>
            <w:r>
              <w:rPr>
                <w:rFonts w:cs="Arial Narrow" w:ascii="Arial" w:hAnsi="Arial"/>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Standard"/>
              <w:numPr>
                <w:ilvl w:val="0"/>
                <w:numId w:val="9"/>
              </w:numPr>
              <w:spacing w:lineRule="atLeast" w:line="100" w:before="0" w:after="0"/>
              <w:jc w:val="both"/>
              <w:rPr>
                <w:rFonts w:ascii="Arial" w:hAnsi="Arial"/>
                <w:color w:val="auto"/>
                <w:sz w:val="24"/>
                <w:szCs w:val="24"/>
              </w:rPr>
            </w:pPr>
            <w:r>
              <w:rPr>
                <w:rFonts w:cs="Arial Narrow" w:ascii="Arial" w:hAnsi="Arial"/>
                <w:bCs/>
                <w:color w:val="auto"/>
                <w:sz w:val="24"/>
                <w:szCs w:val="24"/>
              </w:rPr>
              <w:t xml:space="preserve"> </w:t>
            </w:r>
            <w:r>
              <w:rPr>
                <w:rFonts w:cs="Arial Narrow" w:ascii="Arial" w:hAnsi="Arial"/>
                <w:bCs/>
                <w:color w:val="auto"/>
                <w:sz w:val="24"/>
                <w:szCs w:val="24"/>
              </w:rPr>
              <w:t>Ustala się następujące techniki dokumentowania zapisów księgowych oraz stosowanych uproszczeń:</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prowadzone są w siedzibie Centrum Usług Wspólnych Placówek Oświatowych na ul. Wojska Polskiego 27 we Włocławku.</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Rokiem obrotowym jest okres roku budżetowego, czyli rok kalendarzowy od 1 stycznia do 31 grudnia.</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Najkrótszym okresem sprawozdawczym są poszczególne miesiące.</w:t>
            </w:r>
          </w:p>
          <w:p>
            <w:pPr>
              <w:pStyle w:val="Standard"/>
              <w:numPr>
                <w:ilvl w:val="0"/>
                <w:numId w:val="1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prowadzi się w języku polskim.</w:t>
            </w:r>
          </w:p>
          <w:p>
            <w:pPr>
              <w:pStyle w:val="Standard"/>
              <w:numPr>
                <w:ilvl w:val="0"/>
                <w:numId w:val="1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Wykazane w księgach rachunkowych na dzień ich zamknięcia stany aktywów i pasywów, ujmuje się w tej samej wysokości w bilansie otwarcia następnego roku obrotowego.</w:t>
            </w:r>
          </w:p>
          <w:p>
            <w:pPr>
              <w:pStyle w:val="Standard"/>
              <w:numPr>
                <w:ilvl w:val="0"/>
                <w:numId w:val="1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obejmują zbiory zapisów księgowych, obrotów i sald, które tworzą:</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dziennik,</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księgę główną (ewidencji syntetycznej) w której obowiązuje ujęcie każdej operacji zgodnie z zasadą podwójnego zapisu (Wn – Ma),</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pomocnicze (analityczne),</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zestawienie obrotów i sald księgi głównej i ksiąg pomocniczych,</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wykaz składników aktywów i pasywów (inwentarz).</w:t>
            </w:r>
          </w:p>
          <w:p>
            <w:pPr>
              <w:pStyle w:val="Standard"/>
              <w:spacing w:lineRule="atLeast" w:line="100" w:before="0" w:after="0"/>
              <w:ind w:left="376" w:hanging="0"/>
              <w:jc w:val="both"/>
              <w:rPr>
                <w:rFonts w:ascii="Arial Narrow" w:hAnsi="Arial Narrow" w:cs="Arial Narrow"/>
              </w:rPr>
            </w:pPr>
            <w:r>
              <w:rPr>
                <w:rFonts w:cs="Arial Narrow"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Zapisy w księgach rachunkowych dokonuje się na podstawie dowodów księgowych:</w:t>
            </w:r>
          </w:p>
          <w:p>
            <w:pPr>
              <w:pStyle w:val="Standard"/>
              <w:numPr>
                <w:ilvl w:val="0"/>
                <w:numId w:val="0"/>
              </w:numPr>
              <w:spacing w:lineRule="atLeast" w:line="100" w:before="0" w:after="0"/>
              <w:ind w:left="1096" w:hanging="0"/>
              <w:jc w:val="both"/>
              <w:rPr>
                <w:rFonts w:ascii="Arial Narrow" w:hAnsi="Arial Narrow" w:cs="Arial Narrow"/>
              </w:rPr>
            </w:pPr>
            <w:r>
              <w:rPr>
                <w:rFonts w:cs="Arial Narrow" w:ascii="Arial" w:hAnsi="Arial"/>
                <w:color w:val="auto"/>
                <w:sz w:val="24"/>
                <w:szCs w:val="24"/>
              </w:rPr>
              <w:t>- zewnętrznych (otrzymywanych od kontrahentów - przekazywanych w oryginale kontrahentom),</w:t>
            </w:r>
          </w:p>
          <w:p>
            <w:pPr>
              <w:pStyle w:val="Standard"/>
              <w:numPr>
                <w:ilvl w:val="0"/>
                <w:numId w:val="0"/>
              </w:numPr>
              <w:spacing w:lineRule="atLeast" w:line="100" w:before="0" w:after="0"/>
              <w:ind w:left="1096" w:hanging="0"/>
              <w:jc w:val="both"/>
              <w:rPr>
                <w:rFonts w:ascii="Arial Narrow" w:hAnsi="Arial Narrow" w:cs="Arial Narrow"/>
              </w:rPr>
            </w:pPr>
            <w:r>
              <w:rPr>
                <w:rFonts w:cs="Arial Narrow" w:ascii="Arial" w:hAnsi="Arial"/>
                <w:color w:val="auto"/>
                <w:sz w:val="24"/>
                <w:szCs w:val="24"/>
              </w:rPr>
              <w:t>- wewnętrznych – (dotyczące operacji wewnątrz jednostki).</w:t>
            </w:r>
          </w:p>
          <w:p>
            <w:pPr>
              <w:pStyle w:val="Standard"/>
              <w:numPr>
                <w:ilvl w:val="0"/>
                <w:numId w:val="0"/>
              </w:numPr>
              <w:spacing w:lineRule="atLeast" w:line="100" w:before="0" w:after="0"/>
              <w:ind w:left="1096" w:hanging="0"/>
              <w:jc w:val="both"/>
              <w:rPr>
                <w:rFonts w:ascii="Arial Narrow" w:hAnsi="Arial Narrow" w:cs="Arial Narrow"/>
              </w:rPr>
            </w:pPr>
            <w:r>
              <w:rPr>
                <w:rFonts w:cs="Arial Narrow"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Konta syntetyczne oznaczone są symbolami trzycyfrowymi.</w:t>
            </w:r>
          </w:p>
          <w:p>
            <w:pPr>
              <w:pStyle w:val="Standard"/>
              <w:numPr>
                <w:ilvl w:val="0"/>
                <w:numId w:val="1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Standard"/>
              <w:numPr>
                <w:ilvl w:val="0"/>
                <w:numId w:val="1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Rozliczanie i grupowanie kosztów następują na kontach rodzajowych zespołu „4” z zachowaniem zgodności wydatków za dany rok.</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Dochody i wydatki budżetowe klasyfikuje się według:</w:t>
            </w:r>
          </w:p>
          <w:p>
            <w:pPr>
              <w:pStyle w:val="Standard"/>
              <w:numPr>
                <w:ilvl w:val="0"/>
                <w:numId w:val="13"/>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działów i rozdziałów – określających rodzaj działalności,</w:t>
            </w:r>
          </w:p>
          <w:p>
            <w:pPr>
              <w:pStyle w:val="Standard"/>
              <w:numPr>
                <w:ilvl w:val="0"/>
                <w:numId w:val="13"/>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paragrafów - określających rodzaj dochodu lub wydatku, zgodnie z obowiązującą klasyfikacją budżetową,</w:t>
            </w:r>
          </w:p>
          <w:p>
            <w:pPr>
              <w:pStyle w:val="Standard"/>
              <w:numPr>
                <w:ilvl w:val="0"/>
                <w:numId w:val="13"/>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pozycji – uszczegółowienie dochodów i wydatków do potrzeb analiz i sprawozdań.</w:t>
            </w:r>
          </w:p>
          <w:p>
            <w:pPr>
              <w:pStyle w:val="Standard"/>
              <w:numPr>
                <w:ilvl w:val="0"/>
                <w:numId w:val="1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Wydatki budżetowe są realizowane:</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 sposób celowy i oszczędny,</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umożliwiający terminową realizację zadań,</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 wysokości i terminach wynikających z wcześniej zaciągniętych zobowiązań,</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zgodnie z zasadami określonymi w przepisach o zamówieniach publicznych,</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nie powodując naruszeń dyscypliny budżetowej w rozumieniu Ustawy o odpowiedzialności za naruszenie dyscypliny finansów publicznych.</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Standard"/>
              <w:spacing w:lineRule="atLeast" w:line="100" w:before="0" w:after="0"/>
              <w:ind w:left="556" w:hanging="0"/>
              <w:jc w:val="both"/>
              <w:rPr>
                <w:rFonts w:ascii="Arial Narrow" w:hAnsi="Arial Narrow" w:cs="Arial Narrow"/>
              </w:rPr>
            </w:pPr>
            <w:r>
              <w:rPr>
                <w:rFonts w:cs="Arial Narrow" w:ascii="Arial" w:hAnsi="Arial"/>
                <w:color w:val="auto"/>
                <w:sz w:val="24"/>
                <w:szCs w:val="24"/>
              </w:rPr>
              <w:t>Szczególnie dowodami zastępczymi dokumentowane są:</w:t>
            </w:r>
          </w:p>
          <w:p>
            <w:pPr>
              <w:pStyle w:val="Standard"/>
              <w:numPr>
                <w:ilvl w:val="0"/>
                <w:numId w:val="3"/>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różne opłaty (sądowe itp.),</w:t>
            </w:r>
          </w:p>
          <w:p>
            <w:pPr>
              <w:pStyle w:val="Standard"/>
              <w:numPr>
                <w:ilvl w:val="0"/>
                <w:numId w:val="2"/>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pokwitowania za parkingi</w:t>
            </w:r>
          </w:p>
          <w:p>
            <w:pPr>
              <w:pStyle w:val="Standard"/>
              <w:numPr>
                <w:ilvl w:val="0"/>
                <w:numId w:val="2"/>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opłaty za przejazdy autostradami,</w:t>
            </w:r>
          </w:p>
          <w:p>
            <w:pPr>
              <w:pStyle w:val="Standard"/>
              <w:numPr>
                <w:ilvl w:val="0"/>
                <w:numId w:val="4"/>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opłaty za abonament radiowo-telewizyjny,</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opłaty za udział w targach szkół i placówek,</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pokwitowanie za listy polecone,</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podatek od nieruchomości,</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podatek od środków transportu,</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świadczenia dla pracowników z ZFŚS zgodnie z dyspozycją pisemną Kierownika jednostki obsługiwanej,</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bilety przy delegacjach służbowych.</w:t>
            </w:r>
          </w:p>
          <w:p>
            <w:pPr>
              <w:pStyle w:val="Standard"/>
              <w:numPr>
                <w:ilvl w:val="0"/>
                <w:numId w:val="15"/>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Standard"/>
              <w:spacing w:lineRule="atLeast" w:line="100" w:before="0" w:after="0"/>
              <w:ind w:left="196" w:hanging="0"/>
              <w:jc w:val="both"/>
              <w:rPr>
                <w:rFonts w:ascii="Arial Narrow" w:hAnsi="Arial Narrow" w:cs="Arial Narrow"/>
              </w:rPr>
            </w:pPr>
            <w:r>
              <w:rPr>
                <w:rFonts w:cs="Arial Narrow" w:ascii="Arial" w:hAnsi="Arial"/>
                <w:color w:val="auto"/>
                <w:sz w:val="24"/>
                <w:szCs w:val="24"/>
              </w:rPr>
              <w:t>Dokonano wyboru następujących rozwiązań dokumentowania operacji dopuszczalnych ustawą:</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na pomniejszenie dochodów danego roku budżetowego ujmuje się zwroty dokonane rodzicom, opiekunom na podstawie rozliczeń zatwierdzonych przez Kierownika jednostki obsługiwanej, które wpływają do CUWPO, dotyczących opłaty za pobyt i opłaty za wyżywienie,</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roku budżetowego.</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Odsetki od należności, ujmuje się w księgach rachunkowych w momencie ich zapłaty lub na koniec kwartału w wysokości odsetek należnych na koniec tego kwartału.</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Wycena aktywów i pasywów wyrażonych w walutach obcych dokonuje się nie później niż na koniec kwartału.</w:t>
            </w:r>
          </w:p>
          <w:p>
            <w:pPr>
              <w:pStyle w:val="Standard"/>
              <w:numPr>
                <w:ilvl w:val="0"/>
                <w:numId w:val="16"/>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Standard"/>
              <w:numPr>
                <w:ilvl w:val="0"/>
                <w:numId w:val="17"/>
              </w:numPr>
              <w:spacing w:lineRule="atLeast" w:line="100" w:before="0" w:after="0"/>
              <w:ind w:left="16" w:hanging="0"/>
              <w:jc w:val="both"/>
              <w:rPr>
                <w:rFonts w:ascii="Arial" w:hAnsi="Arial"/>
                <w:color w:val="auto"/>
                <w:sz w:val="24"/>
                <w:szCs w:val="24"/>
              </w:rPr>
            </w:pPr>
            <w:r>
              <w:rPr>
                <w:rFonts w:cs="Arial Narrow" w:ascii="Arial" w:hAnsi="Arial"/>
                <w:color w:val="auto"/>
                <w:sz w:val="24"/>
                <w:szCs w:val="24"/>
              </w:rPr>
              <w:t>Rozliczenia z tytułu VAT.</w:t>
            </w:r>
          </w:p>
          <w:p>
            <w:pPr>
              <w:pStyle w:val="Standard"/>
              <w:numPr>
                <w:ilvl w:val="0"/>
                <w:numId w:val="18"/>
              </w:numPr>
              <w:spacing w:lineRule="atLeast" w:line="100" w:before="0" w:after="240"/>
              <w:ind w:left="397" w:hanging="284"/>
              <w:jc w:val="both"/>
              <w:rPr>
                <w:rFonts w:ascii="Arial" w:hAnsi="Arial"/>
                <w:color w:val="auto"/>
                <w:sz w:val="24"/>
                <w:szCs w:val="24"/>
              </w:rPr>
            </w:pPr>
            <w:r>
              <w:rPr>
                <w:rFonts w:eastAsia="Times New Roman" w:cs="Arial Narrow"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Standard"/>
              <w:spacing w:lineRule="atLeast" w:line="100" w:before="0" w:after="240"/>
              <w:ind w:firstLine="263"/>
              <w:jc w:val="both"/>
              <w:rPr>
                <w:rFonts w:ascii="Arial" w:hAnsi="Arial"/>
                <w:color w:val="auto"/>
                <w:sz w:val="24"/>
                <w:szCs w:val="24"/>
              </w:rPr>
            </w:pPr>
            <w:r>
              <w:rPr>
                <w:rFonts w:eastAsia="Times New Roman" w:cs="Arial Narrow" w:ascii="Arial" w:hAnsi="Arial"/>
                <w:color w:val="auto"/>
                <w:sz w:val="24"/>
                <w:szCs w:val="24"/>
                <w:lang w:eastAsia="pl-PL"/>
              </w:rPr>
              <w:t>W celu realizacji MPP (Mechanizm Podzielonej Płatności)</w:t>
            </w:r>
            <w:r>
              <w:rPr>
                <w:rFonts w:eastAsia="Times New Roman" w:cs="Arial Narrow" w:ascii="Arial" w:hAnsi="Arial"/>
                <w:b/>
                <w:bCs/>
                <w:color w:val="auto"/>
                <w:sz w:val="24"/>
                <w:szCs w:val="24"/>
                <w:lang w:eastAsia="pl-PL"/>
              </w:rPr>
              <w:t xml:space="preserve"> </w:t>
            </w:r>
            <w:r>
              <w:rPr>
                <w:rFonts w:eastAsia="Times New Roman" w:cs="Arial Narrow" w:ascii="Arial" w:hAnsi="Arial"/>
                <w:color w:val="auto"/>
                <w:sz w:val="24"/>
                <w:szCs w:val="24"/>
                <w:lang w:eastAsia="pl-PL"/>
              </w:rPr>
              <w:t>wydzielono w księgach rachunkowych dodatkowe konta analityczne " VAT".</w:t>
            </w:r>
          </w:p>
          <w:p>
            <w:pPr>
              <w:pStyle w:val="Standard"/>
              <w:numPr>
                <w:ilvl w:val="0"/>
                <w:numId w:val="19"/>
              </w:numPr>
              <w:spacing w:lineRule="atLeast" w:line="100" w:before="0" w:after="0"/>
              <w:ind w:left="16" w:hanging="0"/>
              <w:jc w:val="both"/>
              <w:rPr>
                <w:rFonts w:ascii="Arial" w:hAnsi="Arial"/>
                <w:color w:val="auto"/>
                <w:sz w:val="24"/>
                <w:szCs w:val="24"/>
              </w:rPr>
            </w:pPr>
            <w:r>
              <w:rPr>
                <w:rFonts w:cs="Arial Narrow" w:ascii="Arial" w:hAnsi="Arial"/>
                <w:bCs/>
                <w:color w:val="auto"/>
                <w:sz w:val="24"/>
                <w:szCs w:val="24"/>
              </w:rPr>
              <w:t>Sprawozdawczość finansowa:</w:t>
            </w:r>
          </w:p>
          <w:p>
            <w:pPr>
              <w:pStyle w:val="Standard"/>
              <w:numPr>
                <w:ilvl w:val="0"/>
                <w:numId w:val="2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Standard"/>
              <w:numPr>
                <w:ilvl w:val="0"/>
                <w:numId w:val="21"/>
              </w:numPr>
              <w:spacing w:lineRule="atLeast" w:line="100" w:before="0" w:after="0"/>
              <w:ind w:left="16" w:hanging="0"/>
              <w:jc w:val="both"/>
              <w:rPr>
                <w:rFonts w:ascii="Arial" w:hAnsi="Arial"/>
                <w:color w:val="auto"/>
                <w:sz w:val="24"/>
                <w:szCs w:val="24"/>
              </w:rPr>
            </w:pPr>
            <w:r>
              <w:rPr>
                <w:rFonts w:cs="Arial Narrow" w:ascii="Arial" w:hAnsi="Arial"/>
                <w:b/>
                <w:bCs/>
                <w:iCs/>
                <w:color w:val="auto"/>
                <w:sz w:val="24"/>
                <w:szCs w:val="24"/>
              </w:rPr>
              <w:t>VI.</w:t>
            </w:r>
            <w:r>
              <w:rPr>
                <w:rFonts w:cs="Arial Narrow" w:ascii="Arial" w:hAnsi="Arial"/>
                <w:bCs/>
                <w:iCs/>
                <w:color w:val="auto"/>
                <w:sz w:val="24"/>
                <w:szCs w:val="24"/>
              </w:rPr>
              <w:t xml:space="preserve"> Księgi rachunkowe prowadzi się techniką komputerową wg następującego oprogramowania:</w:t>
            </w:r>
          </w:p>
          <w:p>
            <w:pPr>
              <w:pStyle w:val="Standard"/>
              <w:numPr>
                <w:ilvl w:val="0"/>
                <w:numId w:val="2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Vulcan aplikacja Finanse VULCAN wersja zgodna z aktualizacjami programu - firma Vulcan Sp. z o.o. ul. Wołowska 6, 51-116 Wrocław. Administratorem platformy systemu Vulcan jest Gmina Miasto Włocławek.</w:t>
            </w:r>
          </w:p>
          <w:p>
            <w:pPr>
              <w:pStyle w:val="Standard"/>
              <w:spacing w:lineRule="atLeast" w:line="100" w:before="0" w:after="0"/>
              <w:jc w:val="both"/>
              <w:rPr>
                <w:rFonts w:ascii="Arial" w:hAnsi="Arial" w:cs="Arial Narrow"/>
                <w:color w:val="auto"/>
                <w:sz w:val="24"/>
                <w:szCs w:val="24"/>
              </w:rPr>
            </w:pPr>
            <w:r>
              <w:rPr>
                <w:rFonts w:cs="Arial Narrow" w:ascii="Arial" w:hAnsi="Arial"/>
                <w:color w:val="auto"/>
                <w:sz w:val="24"/>
                <w:szCs w:val="24"/>
              </w:rPr>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5.</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inne informacje</w:t>
            </w:r>
          </w:p>
        </w:tc>
      </w:tr>
      <w:tr>
        <w:trPr>
          <w:trHeight w:val="682" w:hRule="atLeast"/>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b/>
                <w:b/>
                <w:sz w:val="20"/>
                <w:szCs w:val="20"/>
              </w:rPr>
            </w:pPr>
            <w:r>
              <w:rPr>
                <w:rFonts w:cs="Calibri" w:ascii="Arial" w:hAnsi="Arial"/>
                <w:b/>
                <w:color w:val="auto"/>
                <w:sz w:val="24"/>
                <w:szCs w:val="24"/>
              </w:rPr>
              <w:t>II.</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bCs/>
                <w:color w:val="2E2014"/>
                <w:sz w:val="20"/>
                <w:szCs w:val="20"/>
              </w:rPr>
            </w:pPr>
            <w:r>
              <w:rPr>
                <w:rFonts w:ascii="Arial" w:hAnsi="Arial"/>
                <w:b/>
                <w:bCs/>
                <w:color w:val="auto"/>
                <w:sz w:val="24"/>
                <w:szCs w:val="24"/>
              </w:rPr>
              <w:t>Dodatkowe informacje i objaśnienia obejmują w szczególności:</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1.1</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cs="Arial Narrow" w:ascii="Arial" w:hAnsi="Arial"/>
                <w:color w:val="auto"/>
                <w:sz w:val="24"/>
                <w:szCs w:val="24"/>
              </w:rPr>
              <w:t>szczegółowy</w:t>
            </w:r>
            <w:r>
              <w:rPr>
                <w:rFonts w:cs="Arial Narrow" w:ascii="Arial" w:hAnsi="Arial"/>
                <w:color w:val="auto"/>
                <w:spacing w:val="1"/>
                <w:sz w:val="24"/>
                <w:szCs w:val="24"/>
              </w:rPr>
              <w:t xml:space="preserve"> </w:t>
            </w:r>
            <w:r>
              <w:rPr>
                <w:rFonts w:cs="Arial Narrow" w:ascii="Arial" w:hAnsi="Arial"/>
                <w:color w:val="auto"/>
                <w:sz w:val="24"/>
                <w:szCs w:val="24"/>
              </w:rPr>
              <w:t>zakres</w:t>
            </w:r>
            <w:r>
              <w:rPr>
                <w:rFonts w:cs="Arial Narrow" w:ascii="Arial" w:hAnsi="Arial"/>
                <w:color w:val="auto"/>
                <w:spacing w:val="1"/>
                <w:sz w:val="24"/>
                <w:szCs w:val="24"/>
              </w:rPr>
              <w:t xml:space="preserve"> </w:t>
            </w:r>
            <w:r>
              <w:rPr>
                <w:rFonts w:cs="Arial Narrow" w:ascii="Arial" w:hAnsi="Arial"/>
                <w:color w:val="auto"/>
                <w:sz w:val="24"/>
                <w:szCs w:val="24"/>
              </w:rPr>
              <w:t>zmian</w:t>
            </w:r>
            <w:r>
              <w:rPr>
                <w:rFonts w:cs="Arial Narrow" w:ascii="Arial" w:hAnsi="Arial"/>
                <w:color w:val="auto"/>
                <w:spacing w:val="1"/>
                <w:sz w:val="24"/>
                <w:szCs w:val="24"/>
              </w:rPr>
              <w:t xml:space="preserve"> </w:t>
            </w:r>
            <w:r>
              <w:rPr>
                <w:rFonts w:cs="Arial Narrow" w:ascii="Arial" w:hAnsi="Arial"/>
                <w:color w:val="auto"/>
                <w:sz w:val="24"/>
                <w:szCs w:val="24"/>
              </w:rPr>
              <w:t>wartości</w:t>
            </w:r>
            <w:r>
              <w:rPr>
                <w:rFonts w:cs="Arial Narrow" w:ascii="Arial" w:hAnsi="Arial"/>
                <w:color w:val="auto"/>
                <w:spacing w:val="1"/>
                <w:sz w:val="24"/>
                <w:szCs w:val="24"/>
              </w:rPr>
              <w:t xml:space="preserve"> </w:t>
            </w:r>
            <w:r>
              <w:rPr>
                <w:rFonts w:cs="Arial Narrow" w:ascii="Arial" w:hAnsi="Arial"/>
                <w:color w:val="auto"/>
                <w:sz w:val="24"/>
                <w:szCs w:val="24"/>
              </w:rPr>
              <w:t>grup</w:t>
            </w:r>
            <w:r>
              <w:rPr>
                <w:rFonts w:cs="Arial Narrow" w:ascii="Arial" w:hAnsi="Arial"/>
                <w:color w:val="auto"/>
                <w:spacing w:val="1"/>
                <w:sz w:val="24"/>
                <w:szCs w:val="24"/>
              </w:rPr>
              <w:t xml:space="preserve"> </w:t>
            </w:r>
            <w:r>
              <w:rPr>
                <w:rFonts w:cs="Arial Narrow" w:ascii="Arial" w:hAnsi="Arial"/>
                <w:color w:val="auto"/>
                <w:sz w:val="24"/>
                <w:szCs w:val="24"/>
              </w:rPr>
              <w:t>rodzajowych</w:t>
            </w:r>
            <w:r>
              <w:rPr>
                <w:rFonts w:cs="Arial Narrow" w:ascii="Arial" w:hAnsi="Arial"/>
                <w:color w:val="auto"/>
                <w:spacing w:val="1"/>
                <w:sz w:val="24"/>
                <w:szCs w:val="24"/>
              </w:rPr>
              <w:t xml:space="preserve"> </w:t>
            </w:r>
            <w:r>
              <w:rPr>
                <w:rFonts w:cs="Arial Narrow" w:ascii="Arial" w:hAnsi="Arial"/>
                <w:color w:val="auto"/>
                <w:sz w:val="24"/>
                <w:szCs w:val="24"/>
              </w:rPr>
              <w:t>środków</w:t>
            </w:r>
            <w:r>
              <w:rPr>
                <w:rFonts w:cs="Arial Narrow" w:ascii="Arial" w:hAnsi="Arial"/>
                <w:color w:val="auto"/>
                <w:spacing w:val="1"/>
                <w:sz w:val="24"/>
                <w:szCs w:val="24"/>
              </w:rPr>
              <w:t xml:space="preserve"> </w:t>
            </w:r>
            <w:r>
              <w:rPr>
                <w:rFonts w:cs="Arial Narrow" w:ascii="Arial" w:hAnsi="Arial"/>
                <w:color w:val="auto"/>
                <w:sz w:val="24"/>
                <w:szCs w:val="24"/>
              </w:rPr>
              <w:t>trwałych,</w:t>
            </w:r>
            <w:r>
              <w:rPr>
                <w:rFonts w:cs="Arial Narrow" w:ascii="Arial" w:hAnsi="Arial"/>
                <w:color w:val="auto"/>
                <w:spacing w:val="1"/>
                <w:sz w:val="24"/>
                <w:szCs w:val="24"/>
              </w:rPr>
              <w:t xml:space="preserve"> </w:t>
            </w:r>
            <w:r>
              <w:rPr>
                <w:rFonts w:cs="Arial Narrow" w:ascii="Arial" w:hAnsi="Arial"/>
                <w:color w:val="auto"/>
                <w:sz w:val="24"/>
                <w:szCs w:val="24"/>
              </w:rPr>
              <w:t>wartości</w:t>
            </w:r>
            <w:r>
              <w:rPr>
                <w:rFonts w:cs="Arial Narrow" w:ascii="Arial" w:hAnsi="Arial"/>
                <w:color w:val="auto"/>
                <w:spacing w:val="1"/>
                <w:sz w:val="24"/>
                <w:szCs w:val="24"/>
              </w:rPr>
              <w:t xml:space="preserve"> </w:t>
            </w:r>
            <w:r>
              <w:rPr>
                <w:rFonts w:cs="Arial Narrow" w:ascii="Arial" w:hAnsi="Arial"/>
                <w:color w:val="auto"/>
                <w:sz w:val="24"/>
                <w:szCs w:val="24"/>
              </w:rPr>
              <w:t>niematerialnych i prawnych, zawierający stan tych aktywów na początek roku obrotowego, zwiększenia i zmniejszenia z tytułu: aktualizacji wartości,</w:t>
            </w:r>
            <w:r>
              <w:rPr>
                <w:rFonts w:cs="Arial Narrow" w:ascii="Arial" w:hAnsi="Arial"/>
                <w:color w:val="auto"/>
                <w:spacing w:val="-6"/>
                <w:sz w:val="24"/>
                <w:szCs w:val="24"/>
              </w:rPr>
              <w:t xml:space="preserve"> </w:t>
            </w:r>
            <w:r>
              <w:rPr>
                <w:rFonts w:cs="Arial Narrow" w:ascii="Arial" w:hAnsi="Arial"/>
                <w:color w:val="auto"/>
                <w:sz w:val="24"/>
                <w:szCs w:val="24"/>
              </w:rPr>
              <w:t>nabycia,</w:t>
            </w:r>
            <w:r>
              <w:rPr>
                <w:rFonts w:cs="Arial Narrow" w:ascii="Arial" w:hAnsi="Arial"/>
                <w:color w:val="auto"/>
                <w:spacing w:val="-6"/>
                <w:sz w:val="24"/>
                <w:szCs w:val="24"/>
              </w:rPr>
              <w:t xml:space="preserve"> </w:t>
            </w:r>
            <w:r>
              <w:rPr>
                <w:rFonts w:cs="Arial Narrow" w:ascii="Arial" w:hAnsi="Arial"/>
                <w:color w:val="auto"/>
                <w:sz w:val="24"/>
                <w:szCs w:val="24"/>
              </w:rPr>
              <w:t>rozchodu,</w:t>
            </w:r>
            <w:r>
              <w:rPr>
                <w:rFonts w:cs="Arial Narrow" w:ascii="Arial" w:hAnsi="Arial"/>
                <w:color w:val="auto"/>
                <w:spacing w:val="-6"/>
                <w:sz w:val="24"/>
                <w:szCs w:val="24"/>
              </w:rPr>
              <w:t xml:space="preserve"> </w:t>
            </w:r>
            <w:r>
              <w:rPr>
                <w:rFonts w:cs="Arial Narrow" w:ascii="Arial" w:hAnsi="Arial"/>
                <w:color w:val="auto"/>
                <w:sz w:val="24"/>
                <w:szCs w:val="24"/>
              </w:rPr>
              <w:t>przemieszczenia</w:t>
            </w:r>
            <w:r>
              <w:rPr>
                <w:rFonts w:cs="Arial Narrow" w:ascii="Arial" w:hAnsi="Arial"/>
                <w:color w:val="auto"/>
                <w:spacing w:val="-7"/>
                <w:sz w:val="24"/>
                <w:szCs w:val="24"/>
              </w:rPr>
              <w:t xml:space="preserve"> </w:t>
            </w:r>
            <w:r>
              <w:rPr>
                <w:rFonts w:cs="Arial Narrow" w:ascii="Arial" w:hAnsi="Arial"/>
                <w:color w:val="auto"/>
                <w:sz w:val="24"/>
                <w:szCs w:val="24"/>
              </w:rPr>
              <w:t>wewnętrznego</w:t>
            </w:r>
            <w:r>
              <w:rPr>
                <w:rFonts w:cs="Arial Narrow" w:ascii="Arial" w:hAnsi="Arial"/>
                <w:color w:val="auto"/>
                <w:spacing w:val="-6"/>
                <w:sz w:val="24"/>
                <w:szCs w:val="24"/>
              </w:rPr>
              <w:t xml:space="preserve"> </w:t>
            </w:r>
            <w:r>
              <w:rPr>
                <w:rFonts w:cs="Arial Narrow" w:ascii="Arial" w:hAnsi="Arial"/>
                <w:color w:val="auto"/>
                <w:sz w:val="24"/>
                <w:szCs w:val="24"/>
              </w:rPr>
              <w:t>oraz</w:t>
            </w:r>
            <w:r>
              <w:rPr>
                <w:rFonts w:cs="Arial Narrow" w:ascii="Arial" w:hAnsi="Arial"/>
                <w:color w:val="auto"/>
                <w:spacing w:val="-6"/>
                <w:sz w:val="24"/>
                <w:szCs w:val="24"/>
              </w:rPr>
              <w:t xml:space="preserve"> </w:t>
            </w:r>
            <w:r>
              <w:rPr>
                <w:rFonts w:cs="Arial Narrow" w:ascii="Arial" w:hAnsi="Arial"/>
                <w:color w:val="auto"/>
                <w:sz w:val="24"/>
                <w:szCs w:val="24"/>
              </w:rPr>
              <w:t>stan</w:t>
            </w:r>
            <w:r>
              <w:rPr>
                <w:rFonts w:cs="Arial Narrow" w:ascii="Arial" w:hAnsi="Arial"/>
                <w:color w:val="auto"/>
                <w:spacing w:val="-6"/>
                <w:sz w:val="24"/>
                <w:szCs w:val="24"/>
              </w:rPr>
              <w:t xml:space="preserve"> </w:t>
            </w:r>
            <w:r>
              <w:rPr>
                <w:rFonts w:cs="Arial Narrow" w:ascii="Arial" w:hAnsi="Arial"/>
                <w:color w:val="auto"/>
                <w:sz w:val="24"/>
                <w:szCs w:val="24"/>
              </w:rPr>
              <w:t>końcowy,</w:t>
            </w:r>
            <w:r>
              <w:rPr>
                <w:rFonts w:cs="Arial Narrow" w:ascii="Arial" w:hAnsi="Arial"/>
                <w:color w:val="auto"/>
                <w:spacing w:val="-6"/>
                <w:sz w:val="24"/>
                <w:szCs w:val="24"/>
              </w:rPr>
              <w:t xml:space="preserve"> </w:t>
            </w:r>
            <w:r>
              <w:rPr>
                <w:rFonts w:cs="Arial Narrow" w:ascii="Arial" w:hAnsi="Arial"/>
                <w:color w:val="auto"/>
                <w:sz w:val="24"/>
                <w:szCs w:val="24"/>
              </w:rPr>
              <w:t>a</w:t>
            </w:r>
            <w:r>
              <w:rPr>
                <w:rFonts w:cs="Arial Narrow" w:ascii="Arial" w:hAnsi="Arial"/>
                <w:color w:val="auto"/>
                <w:spacing w:val="-7"/>
                <w:sz w:val="24"/>
                <w:szCs w:val="24"/>
              </w:rPr>
              <w:t xml:space="preserve"> </w:t>
            </w:r>
            <w:r>
              <w:rPr>
                <w:rFonts w:cs="Arial Narrow" w:ascii="Arial" w:hAnsi="Arial"/>
                <w:color w:val="auto"/>
                <w:sz w:val="24"/>
                <w:szCs w:val="24"/>
              </w:rPr>
              <w:t>dla</w:t>
            </w:r>
            <w:r>
              <w:rPr>
                <w:rFonts w:cs="Arial Narrow" w:ascii="Arial" w:hAnsi="Arial"/>
                <w:color w:val="auto"/>
                <w:spacing w:val="-6"/>
                <w:sz w:val="24"/>
                <w:szCs w:val="24"/>
              </w:rPr>
              <w:t xml:space="preserve"> </w:t>
            </w:r>
            <w:r>
              <w:rPr>
                <w:rFonts w:cs="Arial Narrow" w:ascii="Arial" w:hAnsi="Arial"/>
                <w:color w:val="auto"/>
                <w:sz w:val="24"/>
                <w:szCs w:val="24"/>
              </w:rPr>
              <w:t>majątku</w:t>
            </w:r>
            <w:r>
              <w:rPr>
                <w:rFonts w:cs="Arial Narrow" w:ascii="Arial" w:hAnsi="Arial"/>
                <w:color w:val="auto"/>
                <w:spacing w:val="-7"/>
                <w:sz w:val="24"/>
                <w:szCs w:val="24"/>
              </w:rPr>
              <w:t xml:space="preserve"> </w:t>
            </w:r>
            <w:r>
              <w:rPr>
                <w:rFonts w:cs="Arial Narrow" w:ascii="Arial" w:hAnsi="Arial"/>
                <w:color w:val="auto"/>
                <w:sz w:val="24"/>
                <w:szCs w:val="24"/>
              </w:rPr>
              <w:t>amortyzowanego</w:t>
            </w:r>
          </w:p>
          <w:p>
            <w:pPr>
              <w:pStyle w:val="Standard"/>
              <w:spacing w:lineRule="atLeast" w:line="100" w:before="0" w:after="0"/>
              <w:jc w:val="both"/>
              <w:rPr>
                <w:rFonts w:ascii="Arial" w:hAnsi="Arial"/>
                <w:color w:val="auto"/>
                <w:sz w:val="24"/>
                <w:szCs w:val="24"/>
              </w:rPr>
            </w:pPr>
            <w:r>
              <w:rPr>
                <w:rFonts w:cs="Arial Narrow" w:ascii="Arial" w:hAnsi="Arial"/>
                <w:color w:val="auto"/>
                <w:sz w:val="24"/>
                <w:szCs w:val="24"/>
              </w:rPr>
              <w:t>–</w:t>
            </w:r>
            <w:r>
              <w:rPr>
                <w:rFonts w:eastAsia="Arial Narrow" w:cs="Arial Narrow" w:ascii="Arial" w:hAnsi="Arial"/>
                <w:color w:val="auto"/>
                <w:sz w:val="24"/>
                <w:szCs w:val="24"/>
              </w:rPr>
              <w:t xml:space="preserve"> </w:t>
            </w:r>
            <w:r>
              <w:rPr>
                <w:rFonts w:cs="Arial Narrow" w:ascii="Arial" w:hAnsi="Arial"/>
                <w:color w:val="auto"/>
                <w:sz w:val="24"/>
                <w:szCs w:val="24"/>
              </w:rPr>
              <w:t>podobne przedstawienie stanów i tytułów zmian dotychczasowej amortyzacji lub umorzenia</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tbl>
            <w:tblPr>
              <w:tblW w:w="14340" w:type="dxa"/>
              <w:jc w:val="left"/>
              <w:tblInd w:w="0" w:type="dxa"/>
              <w:tblCellMar>
                <w:top w:w="15" w:type="dxa"/>
                <w:left w:w="15" w:type="dxa"/>
                <w:bottom w:w="15" w:type="dxa"/>
                <w:right w:w="15" w:type="dxa"/>
              </w:tblCellMar>
              <w:tblLook w:firstRow="1" w:noVBand="1" w:lastRow="0" w:firstColumn="1" w:lastColumn="0" w:noHBand="0" w:val="04a0"/>
            </w:tblPr>
            <w:tblGrid>
              <w:gridCol w:w="230"/>
              <w:gridCol w:w="736"/>
              <w:gridCol w:w="1082"/>
              <w:gridCol w:w="338"/>
              <w:gridCol w:w="708"/>
              <w:gridCol w:w="449"/>
              <w:gridCol w:w="3"/>
              <w:gridCol w:w="922"/>
              <w:gridCol w:w="3"/>
              <w:gridCol w:w="325"/>
              <w:gridCol w:w="363"/>
              <w:gridCol w:w="314"/>
              <w:gridCol w:w="4"/>
              <w:gridCol w:w="798"/>
              <w:gridCol w:w="4"/>
              <w:gridCol w:w="1113"/>
              <w:gridCol w:w="4"/>
              <w:gridCol w:w="899"/>
              <w:gridCol w:w="4"/>
              <w:gridCol w:w="335"/>
              <w:gridCol w:w="741"/>
              <w:gridCol w:w="574"/>
              <w:gridCol w:w="5"/>
              <w:gridCol w:w="869"/>
              <w:gridCol w:w="6"/>
              <w:gridCol w:w="558"/>
              <w:gridCol w:w="6"/>
              <w:gridCol w:w="949"/>
              <w:gridCol w:w="6"/>
              <w:gridCol w:w="988"/>
              <w:gridCol w:w="1000"/>
            </w:tblGrid>
            <w:tr>
              <w:trPr>
                <w:trHeight w:val="330" w:hRule="atLeast"/>
              </w:trPr>
              <w:tc>
                <w:tcPr>
                  <w:tcW w:w="14336" w:type="dxa"/>
                  <w:gridSpan w:val="31"/>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u w:val="single"/>
                      <w:lang w:eastAsia="pl-PL" w:bidi="ar-SA"/>
                    </w:rPr>
                    <w:t>Główne składniki aktywów trwałych – PP 35</w:t>
                  </w:r>
                </w:p>
              </w:tc>
            </w:tr>
            <w:tr>
              <w:trPr/>
              <w:tc>
                <w:tcPr>
                  <w:tcW w:w="23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Lp.</w:t>
                  </w:r>
                </w:p>
              </w:tc>
              <w:tc>
                <w:tcPr>
                  <w:tcW w:w="73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Nazwa grupy rodzajowej składnika aktywów trwałych</w:t>
                  </w:r>
                </w:p>
              </w:tc>
              <w:tc>
                <w:tcPr>
                  <w:tcW w:w="1082"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Wartość poczatkowa - stan na poczatek roku obrotowego</w:t>
                  </w:r>
                </w:p>
              </w:tc>
              <w:tc>
                <w:tcPr>
                  <w:tcW w:w="1498"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Zwiększenie wartości poczatkowej</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Ogółem zwiększenie wartości początkowej (4+5+6)</w:t>
                  </w:r>
                </w:p>
              </w:tc>
              <w:tc>
                <w:tcPr>
                  <w:tcW w:w="100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Zmniejszenie wartości początkowej</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Ogółem zmniejszenie wartości poczatkowej (8+9+10)</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Wartość poczatkowa - stan na koniec roku obrotowego (3+7-11)</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Umorzenie - stan na początek roku obrotowego</w:t>
                  </w:r>
                </w:p>
              </w:tc>
              <w:tc>
                <w:tcPr>
                  <w:tcW w:w="1655"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Zwiększenia w ciągu roku obrotowego</w:t>
                  </w:r>
                </w:p>
              </w:tc>
              <w:tc>
                <w:tcPr>
                  <w:tcW w:w="87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Ogółem zwiększenie umorzenia (14+15+16)</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Zmniejszenie umorzenia</w:t>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Umorzenie - stan na koniec roku obrotowego (13+17-18)</w:t>
                  </w:r>
                </w:p>
              </w:tc>
              <w:tc>
                <w:tcPr>
                  <w:tcW w:w="19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Wartość netto składników aktywów</w:t>
                  </w:r>
                </w:p>
              </w:tc>
            </w:tr>
            <w:tr>
              <w:trPr/>
              <w:tc>
                <w:tcPr>
                  <w:tcW w:w="23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73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108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38"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Aktualizacja</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Przychody</w:t>
                  </w:r>
                </w:p>
              </w:tc>
              <w:tc>
                <w:tcPr>
                  <w:tcW w:w="449"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Przemieszczenie</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28" w:type="dxa"/>
                  <w:gridSpan w:val="2"/>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Zbycie</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Likwidacja</w:t>
                  </w:r>
                </w:p>
              </w:tc>
              <w:tc>
                <w:tcPr>
                  <w:tcW w:w="314"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Inne</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39" w:type="dxa"/>
                  <w:gridSpan w:val="2"/>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Aktualizacja</w:t>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Amortyzacja za rok obrotowy</w:t>
                  </w:r>
                </w:p>
              </w:tc>
              <w:tc>
                <w:tcPr>
                  <w:tcW w:w="574"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Inne</w:t>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Stan na poczatek roku obrotowego (3-13)</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Stan na koniec roku obrotowego (12-19)</w:t>
                  </w:r>
                </w:p>
              </w:tc>
            </w:tr>
            <w:tr>
              <w:trPr>
                <w:trHeight w:val="19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w:t>
                  </w:r>
                </w:p>
              </w:tc>
              <w:tc>
                <w:tcPr>
                  <w:tcW w:w="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2</w:t>
                  </w:r>
                </w:p>
              </w:tc>
              <w:tc>
                <w:tcPr>
                  <w:tcW w:w="10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3</w:t>
                  </w:r>
                </w:p>
              </w:tc>
              <w:tc>
                <w:tcPr>
                  <w:tcW w:w="3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4</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5</w:t>
                  </w:r>
                </w:p>
              </w:tc>
              <w:tc>
                <w:tcPr>
                  <w:tcW w:w="4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6</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7</w:t>
                  </w:r>
                </w:p>
              </w:tc>
              <w:tc>
                <w:tcPr>
                  <w:tcW w:w="3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8</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9</w:t>
                  </w:r>
                </w:p>
              </w:tc>
              <w:tc>
                <w:tcPr>
                  <w:tcW w:w="3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10</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11</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12</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13</w:t>
                  </w:r>
                </w:p>
              </w:tc>
              <w:tc>
                <w:tcPr>
                  <w:tcW w:w="3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14</w:t>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15</w:t>
                  </w:r>
                </w:p>
              </w:tc>
              <w:tc>
                <w:tcPr>
                  <w:tcW w:w="5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16</w:t>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17</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18</w:t>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19</w:t>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20</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21</w:t>
                  </w:r>
                </w:p>
              </w:tc>
            </w:tr>
            <w:tr>
              <w:trPr>
                <w:trHeight w:val="61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w:t>
                  </w:r>
                </w:p>
              </w:tc>
              <w:tc>
                <w:tcPr>
                  <w:tcW w:w="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Wartości niematerialne i prawne</w:t>
                  </w:r>
                </w:p>
              </w:tc>
              <w:tc>
                <w:tcPr>
                  <w:tcW w:w="10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2 134,90</w:t>
                  </w:r>
                </w:p>
              </w:tc>
              <w:tc>
                <w:tcPr>
                  <w:tcW w:w="3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1 899,00</w:t>
                  </w:r>
                </w:p>
              </w:tc>
              <w:tc>
                <w:tcPr>
                  <w:tcW w:w="4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1 899,00</w:t>
                  </w:r>
                </w:p>
              </w:tc>
              <w:tc>
                <w:tcPr>
                  <w:tcW w:w="3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4 033,90</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2 134,90</w:t>
                  </w:r>
                </w:p>
              </w:tc>
              <w:tc>
                <w:tcPr>
                  <w:tcW w:w="3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5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1 899,00</w:t>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1 899,00</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4 033,90</w:t>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r>
            <w:tr>
              <w:trPr>
                <w:trHeight w:val="540"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w:t>
                  </w:r>
                </w:p>
              </w:tc>
              <w:tc>
                <w:tcPr>
                  <w:tcW w:w="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Środki trwałe</w:t>
                  </w:r>
                </w:p>
              </w:tc>
              <w:tc>
                <w:tcPr>
                  <w:tcW w:w="10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2 747 396,90</w:t>
                  </w:r>
                </w:p>
              </w:tc>
              <w:tc>
                <w:tcPr>
                  <w:tcW w:w="3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196 221,20</w:t>
                  </w:r>
                </w:p>
              </w:tc>
              <w:tc>
                <w:tcPr>
                  <w:tcW w:w="4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196 221,20</w:t>
                  </w:r>
                </w:p>
              </w:tc>
              <w:tc>
                <w:tcPr>
                  <w:tcW w:w="3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2 943 618,10</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520 675,07</w:t>
                  </w:r>
                </w:p>
              </w:tc>
              <w:tc>
                <w:tcPr>
                  <w:tcW w:w="3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66 535,31</w:t>
                  </w:r>
                </w:p>
              </w:tc>
              <w:tc>
                <w:tcPr>
                  <w:tcW w:w="5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66 535,31</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587 210,38</w:t>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2 226 721,83</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2 356 407,72</w:t>
                  </w:r>
                </w:p>
              </w:tc>
            </w:tr>
            <w:tr>
              <w:trPr>
                <w:trHeight w:val="40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w:t>
                  </w:r>
                </w:p>
              </w:tc>
              <w:tc>
                <w:tcPr>
                  <w:tcW w:w="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grunty</w:t>
                  </w:r>
                </w:p>
              </w:tc>
              <w:tc>
                <w:tcPr>
                  <w:tcW w:w="10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408 660,00</w:t>
                  </w:r>
                </w:p>
              </w:tc>
              <w:tc>
                <w:tcPr>
                  <w:tcW w:w="3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408 660,00</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5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408 660,00</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408 660,00</w:t>
                  </w:r>
                </w:p>
              </w:tc>
            </w:tr>
            <w:tr>
              <w:trPr>
                <w:trHeight w:val="600"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w:t>
                  </w:r>
                </w:p>
              </w:tc>
              <w:tc>
                <w:tcPr>
                  <w:tcW w:w="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budynki, lokale i obiekty inżynierii lądowej i wodnej</w:t>
                  </w:r>
                </w:p>
              </w:tc>
              <w:tc>
                <w:tcPr>
                  <w:tcW w:w="10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2 287 823,58</w:t>
                  </w:r>
                </w:p>
              </w:tc>
              <w:tc>
                <w:tcPr>
                  <w:tcW w:w="3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167 350,00</w:t>
                  </w:r>
                </w:p>
              </w:tc>
              <w:tc>
                <w:tcPr>
                  <w:tcW w:w="4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167 350,00</w:t>
                  </w:r>
                </w:p>
              </w:tc>
              <w:tc>
                <w:tcPr>
                  <w:tcW w:w="3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2 455 173,58</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480 685,24</w:t>
                  </w:r>
                </w:p>
              </w:tc>
              <w:tc>
                <w:tcPr>
                  <w:tcW w:w="3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59 947,45</w:t>
                  </w:r>
                </w:p>
              </w:tc>
              <w:tc>
                <w:tcPr>
                  <w:tcW w:w="5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59 947,45</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540 632,69</w:t>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1 807 138,34</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1 914 540,89</w:t>
                  </w:r>
                </w:p>
              </w:tc>
            </w:tr>
            <w:tr>
              <w:trPr>
                <w:trHeight w:val="61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w:t>
                  </w:r>
                </w:p>
              </w:tc>
              <w:tc>
                <w:tcPr>
                  <w:tcW w:w="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urządzenia techniczne i maszyny</w:t>
                  </w:r>
                </w:p>
              </w:tc>
              <w:tc>
                <w:tcPr>
                  <w:tcW w:w="10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30 803,32</w:t>
                  </w:r>
                </w:p>
              </w:tc>
              <w:tc>
                <w:tcPr>
                  <w:tcW w:w="3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30 803,32</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19 879,83</w:t>
                  </w:r>
                </w:p>
              </w:tc>
              <w:tc>
                <w:tcPr>
                  <w:tcW w:w="3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3 219,55</w:t>
                  </w:r>
                </w:p>
              </w:tc>
              <w:tc>
                <w:tcPr>
                  <w:tcW w:w="5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3 219,55</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23 099,38</w:t>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10 923,49</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7 703,94</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w:t>
                  </w:r>
                </w:p>
              </w:tc>
              <w:tc>
                <w:tcPr>
                  <w:tcW w:w="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środki transportu</w:t>
                  </w:r>
                </w:p>
              </w:tc>
              <w:tc>
                <w:tcPr>
                  <w:tcW w:w="10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5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5)</w:t>
                  </w:r>
                </w:p>
              </w:tc>
              <w:tc>
                <w:tcPr>
                  <w:tcW w:w="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inne środki trwałe</w:t>
                  </w:r>
                </w:p>
              </w:tc>
              <w:tc>
                <w:tcPr>
                  <w:tcW w:w="10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20 110,00</w:t>
                  </w:r>
                </w:p>
              </w:tc>
              <w:tc>
                <w:tcPr>
                  <w:tcW w:w="3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28 871,20</w:t>
                  </w:r>
                </w:p>
              </w:tc>
              <w:tc>
                <w:tcPr>
                  <w:tcW w:w="4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28 871,20</w:t>
                  </w:r>
                </w:p>
              </w:tc>
              <w:tc>
                <w:tcPr>
                  <w:tcW w:w="3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48 981,20</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20 110,00</w:t>
                  </w:r>
                </w:p>
              </w:tc>
              <w:tc>
                <w:tcPr>
                  <w:tcW w:w="3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3 368,31</w:t>
                  </w:r>
                </w:p>
              </w:tc>
              <w:tc>
                <w:tcPr>
                  <w:tcW w:w="5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3 368,31</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23 478,31</w:t>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25 502,89</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7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10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2 749 531,80</w:t>
                  </w:r>
                </w:p>
              </w:tc>
              <w:tc>
                <w:tcPr>
                  <w:tcW w:w="3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7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198 120,20</w:t>
                  </w:r>
                </w:p>
              </w:tc>
              <w:tc>
                <w:tcPr>
                  <w:tcW w:w="4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9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198 120,20</w:t>
                  </w:r>
                </w:p>
              </w:tc>
              <w:tc>
                <w:tcPr>
                  <w:tcW w:w="3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6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0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111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2 947 652,00</w:t>
                  </w:r>
                </w:p>
              </w:tc>
              <w:tc>
                <w:tcPr>
                  <w:tcW w:w="90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522 809,97</w:t>
                  </w:r>
                </w:p>
              </w:tc>
              <w:tc>
                <w:tcPr>
                  <w:tcW w:w="3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7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66 535,31</w:t>
                  </w:r>
                </w:p>
              </w:tc>
              <w:tc>
                <w:tcPr>
                  <w:tcW w:w="5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1 899,00</w:t>
                  </w:r>
                </w:p>
              </w:tc>
              <w:tc>
                <w:tcPr>
                  <w:tcW w:w="87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68 434,31</w:t>
                  </w:r>
                </w:p>
              </w:tc>
              <w:tc>
                <w:tcPr>
                  <w:tcW w:w="56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95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591 244,28</w:t>
                  </w:r>
                </w:p>
              </w:tc>
              <w:tc>
                <w:tcPr>
                  <w:tcW w:w="9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2 226 721,83</w:t>
                  </w:r>
                </w:p>
              </w:tc>
              <w:tc>
                <w:tcPr>
                  <w:tcW w:w="10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2 356 407,72</w:t>
                  </w:r>
                </w:p>
              </w:tc>
            </w:tr>
          </w:tbl>
          <w:p>
            <w:pPr>
              <w:pStyle w:val="Standard"/>
              <w:snapToGrid w:val="false"/>
              <w:spacing w:before="0" w:after="160"/>
              <w:rPr>
                <w:rFonts w:ascii="Arial" w:hAnsi="Arial"/>
                <w:color w:val="auto"/>
                <w:sz w:val="24"/>
                <w:szCs w:val="24"/>
              </w:rPr>
            </w:pPr>
            <w:r>
              <w:rPr>
                <w:rFonts w:ascii="Arial" w:hAnsi="Arial"/>
                <w:color w:val="auto"/>
                <w:sz w:val="24"/>
                <w:szCs w:val="24"/>
              </w:rPr>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1.2</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1.3</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1.4</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wartość gruntów użytkowanych wieczyście</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1.5</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jc w:val="both"/>
              <w:rPr>
                <w:rFonts w:ascii="Arial" w:hAnsi="Arial"/>
                <w:color w:val="auto"/>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1.6</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1.7</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1.8</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1.9</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a)</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powyżej 1 roku do 3 lat</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b)</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powyżej 3 do 5 lat</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c)</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powyżej 5 lat</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1.10</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 sytuacji, 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 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1.11</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1.12</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1.13</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color w:val="2E2014"/>
                <w:sz w:val="20"/>
                <w:szCs w:val="20"/>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1.14</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łączną kwotę otrzymanych przez jednostkę gwarancji i poręczeń niewykazanych w bilansie</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rHeight w:val="477" w:hRule="atLeast"/>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rFonts w:ascii="Arial" w:hAnsi="Arial"/>
                <w:color w:val="auto"/>
                <w:sz w:val="24"/>
                <w:szCs w:val="24"/>
              </w:rPr>
            </w:pPr>
            <w:r>
              <w:rPr>
                <w:rFonts w:ascii="Arial" w:hAnsi="Arial"/>
                <w:color w:val="auto"/>
                <w:sz w:val="24"/>
                <w:szCs w:val="24"/>
              </w:rPr>
              <w:t>1.15</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kwotę wypłaconych środków pieniężnych na świadczenia pracownicze</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66 911,86 PLN</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1.16</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inne informacje</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Umorzenie pozostałych środków trwałych – 531 916,21 PLN</w:t>
            </w:r>
          </w:p>
          <w:p>
            <w:pPr>
              <w:pStyle w:val="Standard"/>
              <w:spacing w:lineRule="atLeast" w:line="100" w:before="0" w:after="0"/>
              <w:rPr>
                <w:b/>
                <w:b/>
                <w:sz w:val="24"/>
                <w:szCs w:val="24"/>
              </w:rPr>
            </w:pPr>
            <w:r>
              <w:rPr>
                <w:rFonts w:ascii="Arial" w:hAnsi="Arial"/>
                <w:b/>
                <w:color w:val="auto"/>
                <w:sz w:val="24"/>
                <w:szCs w:val="24"/>
              </w:rPr>
              <w:t>Zbiory biblioteczne – 15 153,99 PLN</w:t>
            </w:r>
          </w:p>
        </w:tc>
      </w:tr>
      <w:tr>
        <w:trPr/>
        <w:tc>
          <w:tcPr>
            <w:tcW w:w="570"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2.</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2.1</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wysokość odpisów aktualizujących wartość zapasów</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jc w:val="both"/>
              <w:rPr>
                <w:color w:val="2E2014"/>
                <w:sz w:val="20"/>
                <w:szCs w:val="20"/>
              </w:rPr>
            </w:pPr>
            <w:r>
              <w:rPr>
                <w:rFonts w:ascii="Arial" w:hAnsi="Arial"/>
                <w:color w:val="auto"/>
                <w:sz w:val="24"/>
                <w:szCs w:val="24"/>
              </w:rPr>
              <w:t>2.2</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color w:val="2E2014"/>
                <w:sz w:val="20"/>
                <w:szCs w:val="20"/>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2.3</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cs="Calibri"/>
                <w:b/>
                <w:b/>
                <w:sz w:val="24"/>
                <w:szCs w:val="24"/>
              </w:rPr>
            </w:pPr>
            <w:r>
              <w:rPr>
                <w:rFonts w:cs="Calibri" w:ascii="Arial" w:hAnsi="Arial"/>
                <w:b/>
                <w:color w:val="auto"/>
                <w:sz w:val="24"/>
                <w:szCs w:val="24"/>
              </w:rPr>
              <w:t>Fundusz Pomocy Ukrainie – 50 031,46 zł</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2.4</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color w:val="2E2014"/>
                <w:sz w:val="20"/>
                <w:szCs w:val="20"/>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2.5</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inne informacje</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0"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3.</w:t>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570"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5"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bl>
    <w:p>
      <w:pPr>
        <w:pStyle w:val="Standard"/>
        <w:rPr>
          <w:rFonts w:ascii="Arial" w:hAnsi="Arial"/>
          <w:color w:val="auto"/>
          <w:sz w:val="24"/>
          <w:szCs w:val="24"/>
        </w:rPr>
      </w:pPr>
      <w:r>
        <w:rPr>
          <w:rFonts w:ascii="Arial" w:hAnsi="Arial"/>
          <w:color w:val="auto"/>
          <w:sz w:val="24"/>
          <w:szCs w:val="24"/>
        </w:rPr>
      </w:r>
      <w:bookmarkStart w:id="0" w:name="_Hlk192149222"/>
      <w:bookmarkStart w:id="1" w:name="_Hlk192149222"/>
    </w:p>
    <w:p>
      <w:pPr>
        <w:pStyle w:val="Standard"/>
        <w:spacing w:lineRule="auto" w:line="240" w:before="0" w:after="0"/>
        <w:ind w:firstLine="426"/>
        <w:rPr>
          <w:color w:val="2E2014"/>
          <w:sz w:val="18"/>
          <w:szCs w:val="18"/>
        </w:rPr>
      </w:pPr>
      <w:r>
        <w:rPr>
          <w:rFonts w:ascii="Arial" w:hAnsi="Arial"/>
          <w:color w:val="auto"/>
          <w:position w:val="-3"/>
          <w:sz w:val="24"/>
          <w:szCs w:val="24"/>
        </w:rPr>
        <w:t>..............................................</w:t>
        <w:tab/>
        <w:tab/>
        <w:tab/>
        <w:tab/>
        <w:t>..............................................</w:t>
        <w:tab/>
        <w:tab/>
        <w:tab/>
        <w:tab/>
        <w:tab/>
        <w:tab/>
      </w:r>
      <w:r>
        <w:rPr>
          <w:rFonts w:ascii="Arial" w:hAnsi="Arial"/>
          <w:color w:val="auto"/>
          <w:sz w:val="24"/>
          <w:szCs w:val="24"/>
        </w:rPr>
        <w:t xml:space="preserve"> </w:t>
      </w:r>
      <w:r>
        <w:rPr>
          <w:rFonts w:ascii="Arial" w:hAnsi="Arial"/>
          <w:color w:val="auto"/>
          <w:position w:val="-3"/>
          <w:sz w:val="24"/>
          <w:szCs w:val="24"/>
        </w:rPr>
        <w:t>..............................................</w:t>
        <w:tab/>
      </w:r>
      <w:r>
        <w:rPr>
          <w:rFonts w:ascii="Arial" w:hAnsi="Arial"/>
          <w:color w:val="auto"/>
          <w:sz w:val="24"/>
          <w:szCs w:val="24"/>
        </w:rPr>
        <w:t xml:space="preserve"> </w:t>
      </w:r>
    </w:p>
    <w:p>
      <w:pPr>
        <w:pStyle w:val="Standard"/>
        <w:spacing w:lineRule="auto" w:line="240" w:before="0" w:after="0"/>
        <w:ind w:firstLine="708"/>
        <w:rPr>
          <w:rFonts w:ascii="Arial" w:hAnsi="Arial"/>
          <w:color w:val="auto"/>
          <w:sz w:val="24"/>
          <w:szCs w:val="24"/>
        </w:rPr>
      </w:pPr>
      <w:bookmarkStart w:id="2" w:name="_Hlk192149222"/>
      <w:r>
        <w:rPr>
          <w:rFonts w:ascii="Arial" w:hAnsi="Arial"/>
          <w:color w:val="auto"/>
          <w:sz w:val="24"/>
          <w:szCs w:val="24"/>
        </w:rPr>
        <w:t>(główny księgowy)</w:t>
        <w:tab/>
        <w:tab/>
        <w:tab/>
        <w:tab/>
        <w:t xml:space="preserve">     </w:t>
        <w:tab/>
        <w:t xml:space="preserve">      (rok, miesiąc, dzień)</w:t>
        <w:tab/>
        <w:tab/>
        <w:tab/>
        <w:tab/>
        <w:tab/>
        <w:tab/>
        <w:t xml:space="preserve">        (kierownik jednostki)</w:t>
      </w:r>
      <w:bookmarkEnd w:id="2"/>
    </w:p>
    <w:sectPr>
      <w:type w:val="nextPage"/>
      <w:pgSz w:orient="landscape" w:w="16838" w:h="11906"/>
      <w:pgMar w:left="851"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Arial">
    <w:charset w:val="ee"/>
    <w:family w:val="roman"/>
    <w:pitch w:val="variable"/>
  </w:font>
  <w:font w:name="Calibri">
    <w:charset w:val="ee"/>
    <w:family w:val="roman"/>
    <w:pitch w:val="variable"/>
  </w:font>
  <w:font w:name="Arial">
    <w:charset w:val="01"/>
    <w:family w:val="swiss"/>
    <w:pitch w:val="variable"/>
  </w:font>
  <w:font w:name="Liberation Sans1">
    <w:charset w:val="ee"/>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rFonts w:cs="OpenSymbol, 'Arial Unicode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numFmt w:val="bullet"/>
      <w:lvlText w:val="-"/>
      <w:lvlJc w:val="left"/>
      <w:pPr>
        <w:ind w:left="720" w:hanging="360"/>
      </w:pPr>
      <w:rPr>
        <w:rFonts w:ascii="OpenSymbol" w:hAnsi="OpenSymbol" w:cs="OpenSymbol" w:hint="default"/>
        <w:rFonts w:cs="OpenSymbol, 'Arial Unicode MS'"/>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lvl w:ilvl="0">
      <w:numFmt w:val="bullet"/>
      <w:lvlText w:val="-"/>
      <w:lvlJc w:val="left"/>
      <w:pPr>
        <w:ind w:left="720" w:hanging="360"/>
      </w:pPr>
      <w:rPr>
        <w:rFonts w:ascii="OpenSymbol" w:hAnsi="OpenSymbol" w:cs="OpenSymbol" w:hint="default"/>
        <w:rFonts w:cs="OpenSymbol, 'Arial Unicode MS'"/>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lvl w:ilvl="0">
      <w:start w:val="1"/>
      <w:numFmt w:val="bullet"/>
      <w:lvlText w:val="-"/>
      <w:lvlJc w:val="left"/>
      <w:pPr>
        <w:ind w:left="720" w:hanging="360"/>
      </w:pPr>
      <w:rPr>
        <w:rFonts w:ascii="OpenSymbol" w:hAnsi="OpenSymbol" w:cs="OpenSymbol" w:hint="default"/>
        <w:rFonts w:cs="OpenSymbol, 'Arial Unicode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6">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7">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9">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1096"/>
        </w:tabs>
        <w:ind w:left="1096" w:hanging="360"/>
      </w:pPr>
      <w:rPr>
        <w:rFonts w:ascii="Symbol" w:hAnsi="Symbol" w:cs="Symbol" w:hint="default"/>
        <w:rFonts w:cs="OpenSymbol"/>
      </w:rPr>
    </w:lvl>
    <w:lvl w:ilvl="1">
      <w:start w:val="1"/>
      <w:numFmt w:val="bullet"/>
      <w:lvlText w:val="◦"/>
      <w:lvlJc w:val="left"/>
      <w:pPr>
        <w:tabs>
          <w:tab w:val="num" w:pos="1456"/>
        </w:tabs>
        <w:ind w:left="1456" w:hanging="360"/>
      </w:pPr>
      <w:rPr>
        <w:rFonts w:ascii="OpenSymbol" w:hAnsi="OpenSymbol" w:cs="OpenSymbol" w:hint="default"/>
        <w:rFonts w:cs="OpenSymbol"/>
      </w:rPr>
    </w:lvl>
    <w:lvl w:ilvl="2">
      <w:start w:val="1"/>
      <w:numFmt w:val="bullet"/>
      <w:lvlText w:val="▪"/>
      <w:lvlJc w:val="left"/>
      <w:pPr>
        <w:tabs>
          <w:tab w:val="num" w:pos="1816"/>
        </w:tabs>
        <w:ind w:left="1816" w:hanging="360"/>
      </w:pPr>
      <w:rPr>
        <w:rFonts w:ascii="OpenSymbol" w:hAnsi="OpenSymbol" w:cs="OpenSymbol" w:hint="default"/>
        <w:rFonts w:cs="OpenSymbol"/>
      </w:rPr>
    </w:lvl>
    <w:lvl w:ilvl="3">
      <w:start w:val="1"/>
      <w:numFmt w:val="bullet"/>
      <w:lvlText w:val=""/>
      <w:lvlJc w:val="left"/>
      <w:pPr>
        <w:tabs>
          <w:tab w:val="num" w:pos="2176"/>
        </w:tabs>
        <w:ind w:left="2176" w:hanging="360"/>
      </w:pPr>
      <w:rPr>
        <w:rFonts w:ascii="Symbol" w:hAnsi="Symbol" w:cs="Symbol" w:hint="default"/>
        <w:rFonts w:cs="OpenSymbol"/>
      </w:rPr>
    </w:lvl>
    <w:lvl w:ilvl="4">
      <w:start w:val="1"/>
      <w:numFmt w:val="bullet"/>
      <w:lvlText w:val="◦"/>
      <w:lvlJc w:val="left"/>
      <w:pPr>
        <w:tabs>
          <w:tab w:val="num" w:pos="2536"/>
        </w:tabs>
        <w:ind w:left="2536" w:hanging="360"/>
      </w:pPr>
      <w:rPr>
        <w:rFonts w:ascii="OpenSymbol" w:hAnsi="OpenSymbol" w:cs="OpenSymbol" w:hint="default"/>
        <w:rFonts w:cs="OpenSymbol"/>
      </w:rPr>
    </w:lvl>
    <w:lvl w:ilvl="5">
      <w:start w:val="1"/>
      <w:numFmt w:val="bullet"/>
      <w:lvlText w:val="▪"/>
      <w:lvlJc w:val="left"/>
      <w:pPr>
        <w:tabs>
          <w:tab w:val="num" w:pos="2896"/>
        </w:tabs>
        <w:ind w:left="2896" w:hanging="360"/>
      </w:pPr>
      <w:rPr>
        <w:rFonts w:ascii="OpenSymbol" w:hAnsi="OpenSymbol" w:cs="OpenSymbol" w:hint="default"/>
        <w:rFonts w:cs="OpenSymbol"/>
      </w:rPr>
    </w:lvl>
    <w:lvl w:ilvl="6">
      <w:start w:val="1"/>
      <w:numFmt w:val="bullet"/>
      <w:lvlText w:val=""/>
      <w:lvlJc w:val="left"/>
      <w:pPr>
        <w:tabs>
          <w:tab w:val="num" w:pos="3256"/>
        </w:tabs>
        <w:ind w:left="3256" w:hanging="360"/>
      </w:pPr>
      <w:rPr>
        <w:rFonts w:ascii="Symbol" w:hAnsi="Symbol" w:cs="Symbol" w:hint="default"/>
        <w:rFonts w:cs="OpenSymbol"/>
      </w:rPr>
    </w:lvl>
    <w:lvl w:ilvl="7">
      <w:start w:val="1"/>
      <w:numFmt w:val="bullet"/>
      <w:lvlText w:val="◦"/>
      <w:lvlJc w:val="left"/>
      <w:pPr>
        <w:tabs>
          <w:tab w:val="num" w:pos="3616"/>
        </w:tabs>
        <w:ind w:left="3616" w:hanging="360"/>
      </w:pPr>
      <w:rPr>
        <w:rFonts w:ascii="OpenSymbol" w:hAnsi="OpenSymbol" w:cs="OpenSymbol" w:hint="default"/>
        <w:rFonts w:cs="OpenSymbol"/>
      </w:rPr>
    </w:lvl>
    <w:lvl w:ilvl="8">
      <w:start w:val="1"/>
      <w:numFmt w:val="bullet"/>
      <w:lvlText w:val="▪"/>
      <w:lvlJc w:val="left"/>
      <w:pPr>
        <w:tabs>
          <w:tab w:val="num" w:pos="3976"/>
        </w:tabs>
        <w:ind w:left="3976" w:hanging="360"/>
      </w:pPr>
      <w:rPr>
        <w:rFonts w:ascii="OpenSymbol" w:hAnsi="OpenSymbol" w:cs="OpenSymbol" w:hint="default"/>
        <w:rFonts w:cs="OpenSymbol"/>
      </w:rPr>
    </w:lvl>
  </w:abstractNum>
  <w:abstractNum w:abstractNumId="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4">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5">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textAlignment w:val="baseline"/>
    </w:pPr>
    <w:rPr>
      <w:rFonts w:ascii="Liberation Serif" w:hAnsi="Liberation Serif" w:eastAsia="NSimSun" w:cs="Lucida Sans"/>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OpenSymbol, 'Arial Unicode MS'" w:hAnsi="OpenSymbol, 'Arial Unicode MS'" w:eastAsia="OpenSymbol, 'Arial Unicode MS'" w:cs="OpenSymbol, 'Arial Unicode MS'"/>
    </w:rPr>
  </w:style>
  <w:style w:type="character" w:styleId="WW8Num1z1" w:customStyle="1">
    <w:name w:val="WW8Num1z1"/>
    <w:qFormat/>
    <w:rPr>
      <w:rFonts w:ascii="Courier New" w:hAnsi="Courier New" w:eastAsia="Courier New" w:cs="Courier New"/>
    </w:rPr>
  </w:style>
  <w:style w:type="character" w:styleId="WW8Num1z2" w:customStyle="1">
    <w:name w:val="WW8Num1z2"/>
    <w:qFormat/>
    <w:rPr>
      <w:rFonts w:ascii="Wingdings" w:hAnsi="Wingdings" w:eastAsia="Wingdings" w:cs="Wingdings"/>
    </w:rPr>
  </w:style>
  <w:style w:type="character" w:styleId="WW8Num1z3" w:customStyle="1">
    <w:name w:val="WW8Num1z3"/>
    <w:qFormat/>
    <w:rPr>
      <w:rFonts w:ascii="Symbol" w:hAnsi="Symbol" w:eastAsia="Symbol" w:cs="Symbol"/>
    </w:rPr>
  </w:style>
  <w:style w:type="character" w:styleId="WW8Num2z0" w:customStyle="1">
    <w:name w:val="WW8Num2z0"/>
    <w:qFormat/>
    <w:rPr>
      <w:rFonts w:ascii="OpenSymbol, 'Arial Unicode MS'" w:hAnsi="OpenSymbol, 'Arial Unicode MS'" w:eastAsia="OpenSymbol, 'Arial Unicode MS'" w:cs="OpenSymbol, 'Arial Unicode MS'"/>
    </w:rPr>
  </w:style>
  <w:style w:type="character" w:styleId="WW8Num2z1" w:customStyle="1">
    <w:name w:val="WW8Num2z1"/>
    <w:qFormat/>
    <w:rPr>
      <w:rFonts w:cs="Times New Roman"/>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TekstdymkaZnak" w:customStyle="1">
    <w:name w:val="Tekst dymka Znak"/>
    <w:basedOn w:val="DefaultParagraphFont"/>
    <w:qFormat/>
    <w:rPr>
      <w:rFonts w:ascii="Segoe UI" w:hAnsi="Segoe UI" w:eastAsia="Segoe UI" w:cs="Segoe UI"/>
      <w:sz w:val="18"/>
    </w:rPr>
  </w:style>
  <w:style w:type="character" w:styleId="Mocnowyrniony" w:customStyle="1">
    <w:name w:val="Mocno wyróżniony"/>
    <w:qFormat/>
    <w:rPr>
      <w:b/>
      <w:bCs/>
    </w:rPr>
  </w:style>
  <w:style w:type="character" w:styleId="ListLabel1" w:customStyle="1">
    <w:name w:val="ListLabel 1"/>
    <w:qFormat/>
    <w:rPr>
      <w:rFonts w:eastAsia="Times New Roman"/>
    </w:rPr>
  </w:style>
  <w:style w:type="character" w:styleId="ListLabel2" w:customStyle="1">
    <w:name w:val="ListLabel 2"/>
    <w:qFormat/>
    <w:rPr>
      <w:rFonts w:cs="Times New Roman"/>
    </w:rPr>
  </w:style>
  <w:style w:type="character" w:styleId="ListLabel3">
    <w:name w:val="ListLabel 3"/>
    <w:qFormat/>
    <w:rPr>
      <w:rFonts w:ascii="Arial Narrow" w:hAnsi="Arial Narrow" w:cs="OpenSymbol, 'Arial Unicode MS'"/>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ascii="Arial Narrow" w:hAnsi="Arial Narrow" w:cs="OpenSymbol, 'Arial Unicode MS'"/>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Arial Narrow" w:hAnsi="Arial Narrow" w:cs="OpenSymbol, 'Arial Unicode MS'"/>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ascii="Arial Narrow" w:hAnsi="Arial Narrow" w:cs="OpenSymbol, 'Arial Unicode MS'"/>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customStyle="1">
    <w:name w:val="Nagłówek"/>
    <w:basedOn w:val="Standard"/>
    <w:next w:val="Textbody"/>
    <w:qFormat/>
    <w:pPr>
      <w:keepNext w:val="true"/>
      <w:spacing w:before="240" w:after="120"/>
    </w:pPr>
    <w:rPr>
      <w:rFonts w:ascii="Arial" w:hAnsi="Arial"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extbody"/>
    <w:pPr/>
    <w:rPr>
      <w:rFonts w:cs="Mang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rFonts w:cs="Mangal"/>
    </w:rPr>
  </w:style>
  <w:style w:type="paragraph" w:styleId="Standard" w:customStyle="1">
    <w:name w:val="Standard"/>
    <w:qFormat/>
    <w:pPr>
      <w:widowControl/>
      <w:suppressAutoHyphens w:val="true"/>
      <w:bidi w:val="0"/>
      <w:spacing w:lineRule="auto" w:line="242" w:before="0" w:after="160"/>
      <w:jc w:val="left"/>
      <w:textAlignment w:val="baseline"/>
    </w:pPr>
    <w:rPr>
      <w:rFonts w:ascii="Calibri" w:hAnsi="Calibri" w:eastAsia="Calibri" w:cs="Times New Roman"/>
      <w:color w:val="auto"/>
      <w:kern w:val="2"/>
      <w:sz w:val="22"/>
      <w:szCs w:val="22"/>
      <w:lang w:eastAsia="en-US" w:bidi="ar-SA" w:val="pl-PL"/>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sz w:val="24"/>
      <w:szCs w:val="24"/>
    </w:rPr>
  </w:style>
  <w:style w:type="paragraph" w:styleId="ListParagraph">
    <w:name w:val="List Paragraph"/>
    <w:basedOn w:val="Standard"/>
    <w:qFormat/>
    <w:pPr>
      <w:ind w:left="720" w:hanging="0"/>
    </w:pPr>
    <w:rPr/>
  </w:style>
  <w:style w:type="paragraph" w:styleId="BalloonText">
    <w:name w:val="Balloon Text"/>
    <w:basedOn w:val="Standard"/>
    <w:qFormat/>
    <w:pPr>
      <w:spacing w:lineRule="atLeast" w:line="100" w:before="0" w:after="0"/>
    </w:pPr>
    <w:rPr>
      <w:rFonts w:ascii="Segoe UI" w:hAnsi="Segoe UI" w:eastAsia="Segoe UI" w:cs="Segoe UI"/>
      <w:sz w:val="18"/>
      <w:szCs w:val="18"/>
    </w:rPr>
  </w:style>
  <w:style w:type="paragraph" w:styleId="Zawartotabeli" w:customStyle="1">
    <w:name w:val="Zawartość tabeli"/>
    <w:basedOn w:val="Standard"/>
    <w:qFormat/>
    <w:pPr>
      <w:suppressLineNumbers/>
    </w:pPr>
    <w:rPr/>
  </w:style>
  <w:style w:type="paragraph" w:styleId="Nagwektabeli" w:customStyle="1">
    <w:name w:val="Nagłówek tabeli"/>
    <w:basedOn w:val="Zawartotabeli"/>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LibreOffice/6.2.3.2$Windows_x86 LibreOffice_project/aecc05fe267cc68dde00352a451aa867b3b546ac</Application>
  <Pages>11</Pages>
  <Words>3382</Words>
  <Characters>21721</Characters>
  <CharactersWithSpaces>24739</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2020-02-28T09:44:00Z</dcterms:created>
  <dc:creator>Marta Luczkowska</dc:creator>
  <dc:description/>
  <cp:keywords>Informacja dodatkowa</cp:keywords>
  <dc:language>pl-PL</dc:language>
  <cp:lastModifiedBy/>
  <cp:lastPrinted>2025-03-13T07:41:00Z</cp:lastPrinted>
  <dcterms:modified xsi:type="dcterms:W3CDTF">2025-05-06T15:01:30Z</dcterms:modified>
  <cp:revision>9</cp:revision>
  <dc:subject/>
  <dc:title>PP35 INFORMACJA DODATKOWA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