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W w:w="15126" w:type="dxa"/>
        <w:jc w:val="left"/>
        <w:tblInd w:w="0" w:type="dxa"/>
        <w:tblCellMar>
          <w:top w:w="0" w:type="dxa"/>
          <w:left w:w="108" w:type="dxa"/>
          <w:bottom w:w="0" w:type="dxa"/>
          <w:right w:w="108" w:type="dxa"/>
        </w:tblCellMar>
        <w:tblLook w:firstRow="1" w:noVBand="0" w:lastRow="0" w:firstColumn="1" w:lastColumn="0" w:noHBand="0" w:val="00a0"/>
      </w:tblPr>
      <w:tblGrid>
        <w:gridCol w:w="481"/>
        <w:gridCol w:w="14644"/>
      </w:tblGrid>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Przedszkole Publiczne nr  13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Włocławek, ul. Brdowska 2</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Brdowska 2</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rHeight w:val="71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sz w:val="24"/>
                <w:szCs w:val="24"/>
              </w:rPr>
            </w:pPr>
            <w:r>
              <w:rPr>
                <w:rFonts w:cs="TimesNewRomanPSMT" w:ascii="Arial" w:hAnsi="Arial"/>
                <w:b/>
                <w:color w:val="auto"/>
                <w:sz w:val="24"/>
                <w:szCs w:val="24"/>
              </w:rPr>
              <w:t>Podstawę prawną działalności Przedszkola Publicznego Nr 13 stanowi ustawa z dnia 14 grudnia 2016 r. Prawo Oświatowe ( tekst jednolity Dz.U. z 2017 r. poz. 59) oraz wydane do niej przepisy wykonawcze oraz Statut Przedszkola Publicznego Nr 13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rHeight w:val="39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auto" w:line="240" w:before="0" w:after="0"/>
              <w:ind w:left="196" w:hanging="196"/>
              <w:jc w:val="both"/>
              <w:rPr>
                <w:rFonts w:ascii="Arial" w:hAnsi="Arial"/>
                <w:color w:val="auto"/>
                <w:sz w:val="24"/>
                <w:szCs w:val="24"/>
              </w:rPr>
            </w:pP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I</w:t>
            </w:r>
            <w:r>
              <w:rPr>
                <w:rFonts w:cs="Calibri" w:ascii="Arial" w:hAnsi="Arial"/>
                <w:color w:val="auto"/>
                <w:sz w:val="24"/>
                <w:szCs w:val="24"/>
              </w:rPr>
              <w:t>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1232" w:hanging="0"/>
              <w:jc w:val="both"/>
              <w:rPr>
                <w:rFonts w:ascii="Arial Narrow" w:hAnsi="Arial Narrow" w:cs="Calibri"/>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Zasady amortyzacji (umorzenia) środków trwałych i wartości niematerialnych i prawnych.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spacing w:lineRule="auto" w:line="240" w:before="0" w:after="0"/>
              <w:ind w:left="196" w:hanging="0"/>
              <w:jc w:val="both"/>
              <w:rPr>
                <w:rFonts w:ascii="Arial Narrow" w:hAnsi="Arial Narrow" w:cs="Calibri"/>
                <w:lang w:eastAsia="pl-PL"/>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Calibri" w:ascii="Arial" w:hAnsi="Arial"/>
                <w:color w:val="auto"/>
                <w:sz w:val="24"/>
                <w:szCs w:val="24"/>
              </w:rPr>
              <w:t>Środki dydaktyczne służące procesowi dydaktyczno-wychowawczemu realizowanemu w szkołach 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1452" w:hanging="0"/>
              <w:jc w:val="both"/>
              <w:rPr>
                <w:rFonts w:ascii="Arial Narrow" w:hAnsi="Arial Narrow" w:cs="Calibri"/>
              </w:rPr>
            </w:pPr>
            <w:r>
              <w:rPr>
                <w:rFonts w:cs="Calibri"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wykaz składników aktywów i pasywów (inwentarz).</w:t>
            </w:r>
          </w:p>
          <w:p>
            <w:pPr>
              <w:pStyle w:val="Normal"/>
              <w:spacing w:lineRule="auto" w:line="240" w:before="0" w:after="0"/>
              <w:ind w:left="376" w:hanging="0"/>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1096"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Konta syntetyczne oznaczone są symbolami trzycyfrowymi.</w:t>
            </w:r>
          </w:p>
          <w:p>
            <w:pPr>
              <w:pStyle w:val="Normal"/>
              <w:numPr>
                <w:ilvl w:val="0"/>
                <w:numId w:val="10"/>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ind w:left="376" w:hanging="180"/>
              <w:rPr>
                <w:rFonts w:ascii="Arial" w:hAnsi="Arial"/>
                <w:color w:val="auto"/>
                <w:sz w:val="24"/>
                <w:szCs w:val="24"/>
              </w:rPr>
            </w:pP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pozycji – uszczegółowienie dochodów i wydatków do potrzeb analiz i sprawozdań.</w:t>
            </w:r>
          </w:p>
          <w:p>
            <w:pPr>
              <w:pStyle w:val="Normal"/>
              <w:numPr>
                <w:ilvl w:val="0"/>
                <w:numId w:val="10"/>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K</w:t>
            </w:r>
            <w:r>
              <w:rPr>
                <w:rFonts w:cs="Calibri" w:ascii="Arial" w:hAnsi="Arial"/>
                <w:color w:val="auto"/>
                <w:sz w:val="24"/>
                <w:szCs w:val="24"/>
              </w:rPr>
              <w:t>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P</w:t>
            </w:r>
            <w:r>
              <w:rPr>
                <w:rFonts w:cs="Calibri" w:ascii="Arial" w:hAnsi="Arial"/>
                <w:color w:val="auto"/>
                <w:sz w:val="24"/>
                <w:szCs w:val="24"/>
              </w:rPr>
              <w:t>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ind w:left="556" w:hanging="0"/>
              <w:jc w:val="both"/>
              <w:rPr>
                <w:rFonts w:ascii="Arial Narrow" w:hAnsi="Arial Narrow" w:cs="Calibri"/>
              </w:rPr>
            </w:pPr>
            <w:r>
              <w:rPr>
                <w:rFonts w:cs="Calibri" w:ascii="Arial" w:hAnsi="Arial"/>
                <w:color w:val="auto"/>
                <w:sz w:val="24"/>
                <w:szCs w:val="24"/>
              </w:rPr>
              <w:t>Szczególnie dowodami zastępczymi dokumentowane są:</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różne opłaty (sądowe itp.),</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pokwitowania za parkingi</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opłaty za przejazdy autostradami,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nieruchomości,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14"/>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0"/>
              <w:ind w:left="196" w:hanging="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0"/>
              <w:ind w:left="556" w:hanging="180"/>
              <w:contextualSpacing/>
              <w:rPr>
                <w:rFonts w:ascii="Arial" w:hAnsi="Arial"/>
                <w:color w:val="auto"/>
                <w:sz w:val="24"/>
                <w:szCs w:val="24"/>
              </w:rPr>
            </w:pP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ind w:left="556" w:hanging="180"/>
              <w:rPr>
                <w:rFonts w:ascii="Arial" w:hAnsi="Arial"/>
                <w:color w:val="auto"/>
                <w:sz w:val="24"/>
                <w:szCs w:val="24"/>
              </w:rPr>
            </w:pP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ind w:left="16" w:hanging="0"/>
              <w:jc w:val="both"/>
              <w:rPr>
                <w:rFonts w:ascii="Arial" w:hAnsi="Arial"/>
                <w:color w:val="auto"/>
                <w:sz w:val="24"/>
                <w:szCs w:val="24"/>
              </w:rPr>
            </w:pPr>
            <w:r>
              <w:rPr>
                <w:rFonts w:cs="Calibri" w:ascii="Arial" w:hAnsi="Arial"/>
                <w:color w:val="auto"/>
                <w:sz w:val="24"/>
                <w:szCs w:val="24"/>
              </w:rPr>
              <w:t>Rozliczenia z tytułu VAT.</w:t>
            </w:r>
          </w:p>
          <w:p>
            <w:pPr>
              <w:pStyle w:val="Normal"/>
              <w:numPr>
                <w:ilvl w:val="0"/>
                <w:numId w:val="17"/>
              </w:numPr>
              <w:spacing w:lineRule="auto" w:line="240" w:before="0" w:after="0"/>
              <w:ind w:left="16" w:hanging="0"/>
              <w:jc w:val="both"/>
              <w:rPr>
                <w:rFonts w:ascii="Arial" w:hAnsi="Arial"/>
                <w:color w:val="auto"/>
                <w:sz w:val="24"/>
                <w:szCs w:val="24"/>
              </w:rPr>
            </w:pPr>
            <w:r>
              <w:rPr>
                <w:rFonts w:eastAsia="Times New Roman"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 celu realizacji MPP (Mechanizm Podzielonej Płatności)</w:t>
            </w:r>
            <w:r>
              <w:rPr>
                <w:rFonts w:eastAsia="Times New Roman" w:ascii="Arial" w:hAnsi="Arial"/>
                <w:b/>
                <w:bCs/>
                <w:color w:val="auto"/>
                <w:sz w:val="24"/>
                <w:szCs w:val="24"/>
                <w:lang w:eastAsia="pl-PL"/>
              </w:rPr>
              <w:t xml:space="preserve"> </w:t>
            </w:r>
            <w:r>
              <w:rPr>
                <w:rFonts w:eastAsia="Times New Roman" w:ascii="Arial" w:hAnsi="Arial"/>
                <w:color w:val="auto"/>
                <w:sz w:val="24"/>
                <w:szCs w:val="24"/>
                <w:lang w:eastAsia="pl-PL"/>
              </w:rPr>
              <w:t>wydzielono w księgach rachunkowych dodatkowe konta analityczne " VAT".</w:t>
            </w:r>
          </w:p>
          <w:p>
            <w:pPr>
              <w:pStyle w:val="Normal"/>
              <w:numPr>
                <w:ilvl w:val="0"/>
                <w:numId w:val="18"/>
              </w:numPr>
              <w:spacing w:lineRule="auto" w:line="240" w:beforeAutospacing="1" w:afterAutospacing="1"/>
              <w:rPr>
                <w:rFonts w:ascii="Arial" w:hAnsi="Arial"/>
                <w:color w:val="auto"/>
                <w:sz w:val="24"/>
                <w:szCs w:val="24"/>
              </w:rPr>
            </w:pPr>
            <w:r>
              <w:rPr>
                <w:rFonts w:cs="Calibri" w:ascii="Arial" w:hAnsi="Arial"/>
                <w:bCs/>
                <w:color w:val="auto"/>
                <w:sz w:val="24"/>
                <w:szCs w:val="24"/>
              </w:rPr>
              <w:t>Sprawozdawczość finansowa:</w:t>
            </w:r>
          </w:p>
          <w:p>
            <w:pPr>
              <w:pStyle w:val="Normal"/>
              <w:numPr>
                <w:ilvl w:val="0"/>
                <w:numId w:val="19"/>
              </w:numPr>
              <w:spacing w:lineRule="auto" w:line="240" w:beforeAutospacing="1" w:afterAutospacing="1"/>
              <w:rPr>
                <w:rFonts w:ascii="Arial" w:hAnsi="Arial"/>
                <w:color w:val="auto"/>
                <w:sz w:val="24"/>
                <w:szCs w:val="24"/>
              </w:rPr>
            </w:pP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ind w:left="16" w:hanging="0"/>
              <w:jc w:val="both"/>
              <w:rPr>
                <w:rFonts w:ascii="Arial" w:hAnsi="Arial"/>
                <w:color w:val="auto"/>
                <w:sz w:val="24"/>
                <w:szCs w:val="24"/>
              </w:rPr>
            </w:pPr>
            <w:r>
              <w:rPr>
                <w:rFonts w:cs="Calibri" w:ascii="Arial" w:hAnsi="Arial"/>
                <w:bCs/>
                <w:iCs/>
                <w:color w:val="auto"/>
                <w:sz w:val="24"/>
                <w:szCs w:val="24"/>
              </w:rPr>
              <w:t>Księgi rachunkowe prowadzi się techniką komputerową wg następującego oprogramowania:</w:t>
            </w:r>
          </w:p>
          <w:p>
            <w:pPr>
              <w:pStyle w:val="Normal"/>
              <w:spacing w:lineRule="auto" w:line="240" w:before="0" w:after="0"/>
              <w:ind w:left="376" w:hanging="180"/>
              <w:rPr>
                <w:rFonts w:ascii="Arial" w:hAnsi="Arial"/>
                <w:color w:val="auto"/>
                <w:sz w:val="24"/>
                <w:szCs w:val="24"/>
              </w:rPr>
            </w:pPr>
            <w:r>
              <w:rPr>
                <w:rFonts w:cs="Calibri" w:ascii="Arial" w:hAnsi="Arial"/>
                <w:color w:val="auto"/>
                <w:sz w:val="24"/>
                <w:szCs w:val="24"/>
              </w:rPr>
              <w:t xml:space="preserve">Vulcan aplikacja Finanse VULCAN wersja zgodna z aktualizacjami programu - firma Vulcan Sp. z o.o. ul. Wołowska 6, 51-116 Wrocław. Administratorem platformy systemu Vulcan jest Gmina Miasto Włocławek. </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682"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rFonts w:ascii="Arial Narrow" w:hAnsi="Arial Narrow"/>
                <w:color w:val="2E2014"/>
                <w:sz w:val="20"/>
                <w:szCs w:val="20"/>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tbl>
            <w:tblPr>
              <w:tblW w:w="20462" w:type="dxa"/>
              <w:jc w:val="left"/>
              <w:tblInd w:w="0" w:type="dxa"/>
              <w:tblCellMar>
                <w:top w:w="0" w:type="dxa"/>
                <w:left w:w="70" w:type="dxa"/>
                <w:bottom w:w="0" w:type="dxa"/>
                <w:right w:w="70" w:type="dxa"/>
              </w:tblCellMar>
              <w:tblLook w:firstRow="1" w:noVBand="1" w:lastRow="0" w:firstColumn="1" w:lastColumn="0" w:noHBand="0" w:val="04a0"/>
            </w:tblPr>
            <w:tblGrid>
              <w:gridCol w:w="345"/>
              <w:gridCol w:w="1472"/>
              <w:gridCol w:w="1524"/>
              <w:gridCol w:w="446"/>
              <w:gridCol w:w="446"/>
              <w:gridCol w:w="446"/>
              <w:gridCol w:w="4"/>
              <w:gridCol w:w="1075"/>
              <w:gridCol w:w="4"/>
              <w:gridCol w:w="552"/>
              <w:gridCol w:w="984"/>
              <w:gridCol w:w="446"/>
              <w:gridCol w:w="7"/>
              <w:gridCol w:w="1172"/>
              <w:gridCol w:w="6"/>
              <w:gridCol w:w="1453"/>
              <w:gridCol w:w="6"/>
              <w:gridCol w:w="1340"/>
              <w:gridCol w:w="6"/>
              <w:gridCol w:w="440"/>
              <w:gridCol w:w="1138"/>
              <w:gridCol w:w="446"/>
              <w:gridCol w:w="10"/>
              <w:gridCol w:w="1298"/>
              <w:gridCol w:w="10"/>
              <w:gridCol w:w="923"/>
              <w:gridCol w:w="10"/>
              <w:gridCol w:w="1416"/>
              <w:gridCol w:w="10"/>
              <w:gridCol w:w="1529"/>
              <w:gridCol w:w="1493"/>
            </w:tblGrid>
            <w:tr>
              <w:trPr>
                <w:trHeight w:val="330" w:hRule="atLeast"/>
              </w:trPr>
              <w:tc>
                <w:tcPr>
                  <w:tcW w:w="20457" w:type="dxa"/>
                  <w:gridSpan w:val="31"/>
                  <w:tcBorders/>
                  <w:shd w:color="auto" w:fill="auto" w:val="clear"/>
                  <w:vAlign w:val="center"/>
                </w:tcPr>
                <w:p>
                  <w:pPr>
                    <w:pStyle w:val="Normal"/>
                    <w:spacing w:lineRule="auto" w:line="240" w:before="0" w:after="0"/>
                    <w:rPr>
                      <w:rFonts w:ascii="Arial Narrow" w:hAnsi="Arial Narrow" w:eastAsia="Times New Roman"/>
                      <w:b/>
                      <w:b/>
                      <w:bCs/>
                      <w:color w:val="000000"/>
                      <w:u w:val="single"/>
                      <w:lang w:eastAsia="pl-PL"/>
                    </w:rPr>
                  </w:pPr>
                  <w:r>
                    <w:rPr>
                      <w:rFonts w:eastAsia="Times New Roman" w:ascii="Arial" w:hAnsi="Arial"/>
                      <w:b/>
                      <w:bCs/>
                      <w:color w:val="auto"/>
                      <w:sz w:val="24"/>
                      <w:szCs w:val="24"/>
                      <w:u w:val="single"/>
                      <w:lang w:eastAsia="pl-PL"/>
                    </w:rPr>
                    <w:t>Główne składniki aktywów trwałych – PP 13</w:t>
                  </w:r>
                </w:p>
              </w:tc>
            </w:tr>
            <w:tr>
              <w:trPr>
                <w:trHeight w:val="330" w:hRule="atLeast"/>
              </w:trPr>
              <w:tc>
                <w:tcPr>
                  <w:tcW w:w="34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7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52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7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55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8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7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5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4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3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0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3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2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53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9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r>
            <w:tr>
              <w:trPr>
                <w:trHeight w:val="510" w:hRule="atLeast"/>
              </w:trPr>
              <w:tc>
                <w:tcPr>
                  <w:tcW w:w="3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Lp.</w:t>
                  </w:r>
                </w:p>
              </w:tc>
              <w:tc>
                <w:tcPr>
                  <w:tcW w:w="147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Nazwa grupy rodzajowej składnika aktywów trwałych</w:t>
                  </w:r>
                </w:p>
              </w:tc>
              <w:tc>
                <w:tcPr>
                  <w:tcW w:w="152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poczatek roku obrotowego</w:t>
                  </w:r>
                </w:p>
              </w:tc>
              <w:tc>
                <w:tcPr>
                  <w:tcW w:w="134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Zwiększenie wartości poczatkowej</w:t>
                  </w:r>
                </w:p>
              </w:tc>
              <w:tc>
                <w:tcPr>
                  <w:tcW w:w="107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wartości początkowej (4+5+6)</w:t>
                  </w:r>
                </w:p>
              </w:tc>
              <w:tc>
                <w:tcPr>
                  <w:tcW w:w="198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wartości początkowej</w:t>
                  </w:r>
                </w:p>
              </w:tc>
              <w:tc>
                <w:tcPr>
                  <w:tcW w:w="1178"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zmniejszenie wartości poczatkowej                                                                                                                              (8+9+10)</w:t>
                  </w:r>
                </w:p>
              </w:tc>
              <w:tc>
                <w:tcPr>
                  <w:tcW w:w="145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koniec roku obrotowego                                                                                                                                           (3+7-11)</w:t>
                  </w:r>
                </w:p>
              </w:tc>
              <w:tc>
                <w:tcPr>
                  <w:tcW w:w="1346"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początek roku obrotowego</w:t>
                  </w:r>
                </w:p>
              </w:tc>
              <w:tc>
                <w:tcPr>
                  <w:tcW w:w="203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Zwiększenia w ciągu roku obrotowego</w:t>
                  </w:r>
                </w:p>
              </w:tc>
              <w:tc>
                <w:tcPr>
                  <w:tcW w:w="1308"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umorzenia (14+15+16)</w:t>
                  </w:r>
                </w:p>
              </w:tc>
              <w:tc>
                <w:tcPr>
                  <w:tcW w:w="933"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umorzenia</w:t>
                  </w:r>
                </w:p>
              </w:tc>
              <w:tc>
                <w:tcPr>
                  <w:tcW w:w="1426"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koniec roku obrotowego                                                                                                 (13+17-18)</w:t>
                  </w:r>
                </w:p>
              </w:tc>
              <w:tc>
                <w:tcPr>
                  <w:tcW w:w="3022"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netto składników aktywów</w:t>
                  </w:r>
                </w:p>
              </w:tc>
            </w:tr>
            <w:tr>
              <w:trPr>
                <w:trHeight w:val="1695" w:hRule="atLeast"/>
              </w:trPr>
              <w:tc>
                <w:tcPr>
                  <w:tcW w:w="34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72"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524"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6"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44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Przychody</w:t>
                  </w:r>
                </w:p>
              </w:tc>
              <w:tc>
                <w:tcPr>
                  <w:tcW w:w="446"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Przemieszczenie</w:t>
                  </w:r>
                </w:p>
              </w:tc>
              <w:tc>
                <w:tcPr>
                  <w:tcW w:w="107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56" w:type="dxa"/>
                  <w:gridSpan w:val="2"/>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Zbycie</w:t>
                  </w:r>
                </w:p>
              </w:tc>
              <w:tc>
                <w:tcPr>
                  <w:tcW w:w="98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Likwidacja</w:t>
                  </w:r>
                </w:p>
              </w:tc>
              <w:tc>
                <w:tcPr>
                  <w:tcW w:w="446" w:type="dxa"/>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17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5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4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46"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1138"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Amortyzacja za rok obrotowy</w:t>
                  </w:r>
                </w:p>
              </w:tc>
              <w:tc>
                <w:tcPr>
                  <w:tcW w:w="446"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30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93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2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poczatek roku obrotowego                                                                                                                                                                           (3-13)</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koniec roku obrotowego                                                                                                                                                                          (12-19)</w:t>
                  </w:r>
                </w:p>
              </w:tc>
            </w:tr>
            <w:tr>
              <w:trPr>
                <w:trHeight w:val="199"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3</w:t>
                  </w:r>
                </w:p>
              </w:tc>
              <w:tc>
                <w:tcPr>
                  <w:tcW w:w="4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4</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5</w:t>
                  </w:r>
                </w:p>
              </w:tc>
              <w:tc>
                <w:tcPr>
                  <w:tcW w:w="4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6</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7</w:t>
                  </w:r>
                </w:p>
              </w:tc>
              <w:tc>
                <w:tcPr>
                  <w:tcW w:w="55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8</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9</w:t>
                  </w:r>
                </w:p>
              </w:tc>
              <w:tc>
                <w:tcPr>
                  <w:tcW w:w="4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11</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12</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13</w:t>
                  </w:r>
                </w:p>
              </w:tc>
              <w:tc>
                <w:tcPr>
                  <w:tcW w:w="44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14</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15</w:t>
                  </w:r>
                </w:p>
              </w:tc>
              <w:tc>
                <w:tcPr>
                  <w:tcW w:w="4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16</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17</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18</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19</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20</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21</w:t>
                  </w:r>
                </w:p>
              </w:tc>
            </w:tr>
            <w:tr>
              <w:trPr>
                <w:trHeight w:val="619"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1.</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Wartości niematerialne    i prawne</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3 330,98</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3 330,98</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3 330,98</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3 330,98</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r>
            <w:tr>
              <w:trPr>
                <w:trHeight w:val="540"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2.</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Środki trwałe</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1 728 119,73</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1 728 119,73</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463 761,09</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54 049,81</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54 049,81</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517 810,90</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1 264 358,64</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1 210 308,83</w:t>
                  </w:r>
                </w:p>
              </w:tc>
            </w:tr>
            <w:tr>
              <w:trPr>
                <w:trHeight w:val="405"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1)</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grunty</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597"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2)</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budynki, lokale i obiekty inżynierii lądowej i wodnej</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1 620 513,70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1 620 513,70</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381 121,80</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46 364,55</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46 364,55</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427 486,35</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1 239 391,90</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1 193 027,35</w:t>
                  </w:r>
                </w:p>
              </w:tc>
            </w:tr>
            <w:tr>
              <w:trPr>
                <w:trHeight w:val="619"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3)</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urządzenia techniczne i maszyny</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68 729,33</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68 729,33</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57 879,28</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3 538,91</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3 538,91</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61 418,19</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10 850,05</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7 311,14</w:t>
                  </w:r>
                </w:p>
              </w:tc>
            </w:tr>
            <w:tr>
              <w:trPr>
                <w:trHeight w:val="255"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4)</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środki transportu</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5)</w:t>
                  </w:r>
                </w:p>
              </w:tc>
              <w:tc>
                <w:tcPr>
                  <w:tcW w:w="147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inne środki trwałe</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38 876,70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38 876,70</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24 760,01</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4 146,35</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4 146,35</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28 906,36</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14 116,69</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9 970,34</w:t>
                  </w:r>
                </w:p>
              </w:tc>
            </w:tr>
            <w:tr>
              <w:trPr>
                <w:trHeight w:val="255" w:hRule="atLeast"/>
              </w:trPr>
              <w:tc>
                <w:tcPr>
                  <w:tcW w:w="34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i/>
                      <w:i/>
                      <w:iCs/>
                      <w:color w:val="000000"/>
                      <w:sz w:val="18"/>
                      <w:szCs w:val="18"/>
                      <w:lang w:eastAsia="pl-PL"/>
                    </w:rPr>
                  </w:pPr>
                  <w:r>
                    <w:rPr>
                      <w:rFonts w:eastAsia="Times New Roman" w:ascii="Arial" w:hAnsi="Arial"/>
                      <w:b/>
                      <w:bCs/>
                      <w:i/>
                      <w:iCs/>
                      <w:color w:val="auto"/>
                      <w:sz w:val="24"/>
                      <w:szCs w:val="24"/>
                      <w:lang w:eastAsia="pl-PL"/>
                    </w:rPr>
                    <w:t> </w:t>
                  </w:r>
                </w:p>
              </w:tc>
              <w:tc>
                <w:tcPr>
                  <w:tcW w:w="1472"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5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1 731 450,71</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8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1 731 450,71</w:t>
                  </w:r>
                </w:p>
              </w:tc>
              <w:tc>
                <w:tcPr>
                  <w:tcW w:w="13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467 092,07</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54 049,81</w:t>
                  </w:r>
                </w:p>
              </w:tc>
              <w:tc>
                <w:tcPr>
                  <w:tcW w:w="4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54 049,81</w:t>
                  </w:r>
                </w:p>
              </w:tc>
              <w:tc>
                <w:tcPr>
                  <w:tcW w:w="93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2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521 141,88</w:t>
                  </w:r>
                </w:p>
              </w:tc>
              <w:tc>
                <w:tcPr>
                  <w:tcW w:w="153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1 264 358,64</w:t>
                  </w:r>
                </w:p>
              </w:tc>
              <w:tc>
                <w:tcPr>
                  <w:tcW w:w="14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1 210 308,83</w:t>
                  </w:r>
                </w:p>
              </w:tc>
            </w:tr>
          </w:tbl>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rHeight w:val="10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rHeight w:val="12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79"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rHeight w:val="18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66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rHeight w:val="33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441"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47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1.15</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kwotę wypłaconych środków pieniężnych na świadczenia pracownicze</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10 102,60</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drawing>
                <wp:inline distT="0" distB="0" distL="0" distR="0">
                  <wp:extent cx="9611360" cy="21399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9611360" cy="213995"/>
                          </a:xfrm>
                          <a:prstGeom prst="rect">
                            <a:avLst/>
                          </a:prstGeom>
                        </pic:spPr>
                      </pic:pic>
                    </a:graphicData>
                  </a:graphic>
                </wp:inline>
              </w:drawing>
            </w:r>
          </w:p>
          <w:p>
            <w:pPr>
              <w:pStyle w:val="Normal"/>
              <w:widowControl w:val="false"/>
              <w:spacing w:lineRule="auto" w:line="240" w:before="47" w:after="0"/>
              <w:ind w:right="-20" w:hanging="0"/>
              <w:rPr>
                <w:rFonts w:ascii="Times New Roman" w:hAnsi="Times New Roman"/>
                <w:b/>
                <w:b/>
                <w:bCs/>
                <w:color w:val="2E2014"/>
                <w:sz w:val="20"/>
                <w:szCs w:val="20"/>
              </w:rPr>
            </w:pPr>
            <w:r>
              <w:rPr>
                <w:rFonts w:ascii="Arial" w:hAnsi="Arial"/>
                <w:b/>
                <w:bCs/>
                <w:color w:val="auto"/>
                <w:sz w:val="24"/>
                <w:szCs w:val="24"/>
              </w:rPr>
              <w:t xml:space="preserve">- Umorzenie pozostałych środków trwałych  – 247 447,19 </w:t>
            </w:r>
            <w:r>
              <w:rPr>
                <w:rFonts w:ascii="Arial" w:hAnsi="Arial"/>
                <w:b/>
                <w:bCs/>
                <w:color w:val="auto"/>
                <w:sz w:val="24"/>
                <w:szCs w:val="24"/>
              </w:rPr>
              <w:t>zł</w:t>
            </w:r>
          </w:p>
          <w:p>
            <w:pPr>
              <w:pStyle w:val="Normal"/>
              <w:widowControl w:val="false"/>
              <w:spacing w:lineRule="auto" w:line="240" w:before="47" w:after="0"/>
              <w:ind w:right="-20" w:hanging="0"/>
              <w:rPr>
                <w:rFonts w:ascii="Arial" w:hAnsi="Arial"/>
                <w:color w:val="auto"/>
                <w:sz w:val="24"/>
                <w:szCs w:val="24"/>
              </w:rPr>
            </w:pPr>
            <w:r>
              <w:rPr>
                <w:rFonts w:ascii="Arial" w:hAnsi="Arial"/>
                <w:b/>
                <w:bCs/>
                <w:color w:val="auto"/>
                <w:sz w:val="24"/>
                <w:szCs w:val="24"/>
              </w:rPr>
              <w:t xml:space="preserve">- Zbiory biblioteczne                                      -      3 792, </w:t>
            </w:r>
            <w:r>
              <w:rPr>
                <w:rFonts w:ascii="Arial" w:hAnsi="Arial"/>
                <w:b/>
                <w:bCs/>
                <w:color w:val="auto"/>
                <w:sz w:val="24"/>
                <w:szCs w:val="24"/>
              </w:rPr>
              <w:t>zł</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Fundusz pomocy Ukrainie 18 194,43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Times New Roman">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1232"/>
        </w:tabs>
        <w:ind w:left="1232" w:hanging="360"/>
      </w:pPr>
      <w:rPr/>
    </w:lvl>
    <w:lvl w:ilvl="1">
      <w:start w:val="1"/>
      <w:numFmt w:val="decimal"/>
      <w:lvlText w:val="%2."/>
      <w:lvlJc w:val="left"/>
      <w:pPr>
        <w:tabs>
          <w:tab w:val="num" w:pos="1592"/>
        </w:tabs>
        <w:ind w:left="1592" w:hanging="360"/>
      </w:pPr>
      <w:rPr/>
    </w:lvl>
    <w:lvl w:ilvl="2">
      <w:start w:val="1"/>
      <w:numFmt w:val="decimal"/>
      <w:lvlText w:val="%3."/>
      <w:lvlJc w:val="left"/>
      <w:pPr>
        <w:tabs>
          <w:tab w:val="num" w:pos="1952"/>
        </w:tabs>
        <w:ind w:left="1952" w:hanging="360"/>
      </w:pPr>
      <w:rPr/>
    </w:lvl>
    <w:lvl w:ilvl="3">
      <w:start w:val="1"/>
      <w:numFmt w:val="decimal"/>
      <w:lvlText w:val="%4."/>
      <w:lvlJc w:val="left"/>
      <w:pPr>
        <w:tabs>
          <w:tab w:val="num" w:pos="2312"/>
        </w:tabs>
        <w:ind w:left="2312" w:hanging="360"/>
      </w:pPr>
      <w:rPr/>
    </w:lvl>
    <w:lvl w:ilvl="4">
      <w:start w:val="1"/>
      <w:numFmt w:val="decimal"/>
      <w:lvlText w:val="%5."/>
      <w:lvlJc w:val="left"/>
      <w:pPr>
        <w:tabs>
          <w:tab w:val="num" w:pos="2672"/>
        </w:tabs>
        <w:ind w:left="2672" w:hanging="360"/>
      </w:pPr>
      <w:rPr/>
    </w:lvl>
    <w:lvl w:ilvl="5">
      <w:start w:val="1"/>
      <w:numFmt w:val="decimal"/>
      <w:lvlText w:val="%6."/>
      <w:lvlJc w:val="left"/>
      <w:pPr>
        <w:tabs>
          <w:tab w:val="num" w:pos="3032"/>
        </w:tabs>
        <w:ind w:left="3032" w:hanging="360"/>
      </w:pPr>
      <w:rPr/>
    </w:lvl>
    <w:lvl w:ilvl="6">
      <w:start w:val="1"/>
      <w:numFmt w:val="decimal"/>
      <w:lvlText w:val="%7."/>
      <w:lvlJc w:val="left"/>
      <w:pPr>
        <w:tabs>
          <w:tab w:val="num" w:pos="3392"/>
        </w:tabs>
        <w:ind w:left="3392" w:hanging="360"/>
      </w:pPr>
      <w:rPr/>
    </w:lvl>
    <w:lvl w:ilvl="7">
      <w:start w:val="1"/>
      <w:numFmt w:val="decimal"/>
      <w:lvlText w:val="%8."/>
      <w:lvlJc w:val="left"/>
      <w:pPr>
        <w:tabs>
          <w:tab w:val="num" w:pos="3752"/>
        </w:tabs>
        <w:ind w:left="3752" w:hanging="360"/>
      </w:pPr>
      <w:rPr/>
    </w:lvl>
    <w:lvl w:ilvl="8">
      <w:start w:val="1"/>
      <w:numFmt w:val="decimal"/>
      <w:lvlText w:val="%9."/>
      <w:lvlJc w:val="left"/>
      <w:pPr>
        <w:tabs>
          <w:tab w:val="num" w:pos="4112"/>
        </w:tabs>
        <w:ind w:left="4112"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452"/>
        </w:tabs>
        <w:ind w:left="1452" w:hanging="360"/>
      </w:pPr>
      <w:rPr/>
    </w:lvl>
    <w:lvl w:ilvl="1">
      <w:start w:val="1"/>
      <w:numFmt w:val="decimal"/>
      <w:lvlText w:val="%2."/>
      <w:lvlJc w:val="left"/>
      <w:pPr>
        <w:tabs>
          <w:tab w:val="num" w:pos="1812"/>
        </w:tabs>
        <w:ind w:left="1812" w:hanging="360"/>
      </w:pPr>
      <w:rPr/>
    </w:lvl>
    <w:lvl w:ilvl="2">
      <w:start w:val="1"/>
      <w:numFmt w:val="decimal"/>
      <w:lvlText w:val="%3."/>
      <w:lvlJc w:val="left"/>
      <w:pPr>
        <w:tabs>
          <w:tab w:val="num" w:pos="2172"/>
        </w:tabs>
        <w:ind w:left="2172" w:hanging="360"/>
      </w:pPr>
      <w:rPr/>
    </w:lvl>
    <w:lvl w:ilvl="3">
      <w:start w:val="1"/>
      <w:numFmt w:val="decimal"/>
      <w:lvlText w:val="%4."/>
      <w:lvlJc w:val="left"/>
      <w:pPr>
        <w:tabs>
          <w:tab w:val="num" w:pos="2532"/>
        </w:tabs>
        <w:ind w:left="2532" w:hanging="360"/>
      </w:pPr>
      <w:rPr/>
    </w:lvl>
    <w:lvl w:ilvl="4">
      <w:start w:val="1"/>
      <w:numFmt w:val="decimal"/>
      <w:lvlText w:val="%5."/>
      <w:lvlJc w:val="left"/>
      <w:pPr>
        <w:tabs>
          <w:tab w:val="num" w:pos="2892"/>
        </w:tabs>
        <w:ind w:left="2892" w:hanging="360"/>
      </w:pPr>
      <w:rPr/>
    </w:lvl>
    <w:lvl w:ilvl="5">
      <w:start w:val="1"/>
      <w:numFmt w:val="decimal"/>
      <w:lvlText w:val="%6."/>
      <w:lvlJc w:val="left"/>
      <w:pPr>
        <w:tabs>
          <w:tab w:val="num" w:pos="3252"/>
        </w:tabs>
        <w:ind w:left="3252" w:hanging="360"/>
      </w:pPr>
      <w:rPr/>
    </w:lvl>
    <w:lvl w:ilvl="6">
      <w:start w:val="1"/>
      <w:numFmt w:val="decimal"/>
      <w:lvlText w:val="%7."/>
      <w:lvlJc w:val="left"/>
      <w:pPr>
        <w:tabs>
          <w:tab w:val="num" w:pos="3612"/>
        </w:tabs>
        <w:ind w:left="3612" w:hanging="360"/>
      </w:pPr>
      <w:rPr/>
    </w:lvl>
    <w:lvl w:ilvl="7">
      <w:start w:val="1"/>
      <w:numFmt w:val="decimal"/>
      <w:lvlText w:val="%8."/>
      <w:lvlJc w:val="left"/>
      <w:pPr>
        <w:tabs>
          <w:tab w:val="num" w:pos="3972"/>
        </w:tabs>
        <w:ind w:left="3972" w:hanging="360"/>
      </w:pPr>
      <w:rPr/>
    </w:lvl>
    <w:lvl w:ilvl="8">
      <w:start w:val="1"/>
      <w:numFmt w:val="decimal"/>
      <w:lvlText w:val="%9."/>
      <w:lvlJc w:val="left"/>
      <w:pPr>
        <w:tabs>
          <w:tab w:val="num" w:pos="4332"/>
        </w:tabs>
        <w:ind w:left="4332"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9">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2">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locked/>
    <w:rsid w:val="009572ff"/>
    <w:rPr>
      <w:rFonts w:ascii="Segoe UI" w:hAnsi="Segoe UI"/>
      <w:sz w:val="18"/>
    </w:rPr>
  </w:style>
  <w:style w:type="character" w:styleId="NagwekZnak" w:customStyle="1">
    <w:name w:val="Nagłówek Znak"/>
    <w:basedOn w:val="DefaultParagraphFont"/>
    <w:link w:val="Nagwek"/>
    <w:uiPriority w:val="99"/>
    <w:qFormat/>
    <w:rsid w:val="005241b8"/>
    <w:rPr>
      <w:lang w:eastAsia="en-US"/>
    </w:rPr>
  </w:style>
  <w:style w:type="character" w:styleId="StopkaZnak" w:customStyle="1">
    <w:name w:val="Stopka Znak"/>
    <w:basedOn w:val="DefaultParagraphFont"/>
    <w:link w:val="Stopka"/>
    <w:uiPriority w:val="99"/>
    <w:qFormat/>
    <w:rsid w:val="005241b8"/>
    <w:rPr>
      <w:lang w:eastAsia="en-US"/>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locked/>
    <w:rsid w:val="005241b8"/>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locked/>
    <w:rsid w:val="005241b8"/>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DDDE-50FC-4A03-A07E-22ABE8B1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Application>LibreOffice/6.2.3.2$Windows_x86 LibreOffice_project/aecc05fe267cc68dde00352a451aa867b3b546ac</Application>
  <Pages>11</Pages>
  <Words>3358</Words>
  <Characters>21579</Characters>
  <CharactersWithSpaces>25265</CharactersWithSpaces>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2021-02-15T10:53:00Z</dcterms:created>
  <dc:creator>Edyta ez. Zielińska</dc:creator>
  <dc:description/>
  <cp:keywords>Informacja dodatkowa</cp:keywords>
  <dc:language>pl-PL</dc:language>
  <cp:lastModifiedBy/>
  <cp:lastPrinted>2025-03-14T11:41:00Z</cp:lastPrinted>
  <dcterms:modified xsi:type="dcterms:W3CDTF">2025-05-08T12:52:25Z</dcterms:modified>
  <cp:revision>44</cp:revision>
  <dc:subject/>
  <dc:title>PP 13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