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ind w:left="4956" w:firstLine="708"/>
        <w:rPr>
          <w:rFonts w:ascii="Arial" w:hAnsi="Arial"/>
          <w:color w:val="auto"/>
          <w:sz w:val="24"/>
          <w:szCs w:val="24"/>
        </w:rPr>
      </w:pPr>
      <w:r>
        <w:rPr>
          <w:rFonts w:ascii="Arial" w:hAnsi="Arial"/>
          <w:b/>
          <w:color w:val="auto"/>
          <w:sz w:val="24"/>
          <w:szCs w:val="24"/>
        </w:rPr>
        <w:t>INFORMACJA DODATKOWA</w:t>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72"/>
        <w:gridCol w:w="14563"/>
      </w:tblGrid>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b/>
                <w:b/>
                <w:sz w:val="20"/>
                <w:szCs w:val="20"/>
              </w:rPr>
            </w:pPr>
            <w:r>
              <w:rPr>
                <w:rFonts w:ascii="Arial" w:hAnsi="Arial"/>
                <w:b/>
                <w:color w:val="auto"/>
                <w:sz w:val="24"/>
                <w:szCs w:val="24"/>
              </w:rPr>
              <w:t>I.</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bCs/>
                <w:color w:val="2E2014"/>
                <w:sz w:val="20"/>
                <w:szCs w:val="20"/>
              </w:rPr>
            </w:pPr>
            <w:r>
              <w:rPr>
                <w:rFonts w:ascii="Arial" w:hAnsi="Arial"/>
                <w:b/>
                <w:bCs/>
                <w:color w:val="auto"/>
                <w:sz w:val="24"/>
                <w:szCs w:val="24"/>
              </w:rPr>
              <w:t>Wprowadzenie do sprawozdania finansowego, obejmuje w szczególności:</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nazwę jednostki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cs="Arial Narrow"/>
                <w:b/>
                <w:b/>
                <w:color w:val="auto"/>
                <w:sz w:val="24"/>
                <w:szCs w:val="24"/>
              </w:rPr>
            </w:pPr>
            <w:r>
              <w:rPr>
                <w:rFonts w:cs="Arial Narrow" w:ascii="Arial" w:hAnsi="Arial"/>
                <w:b/>
                <w:color w:val="auto"/>
                <w:sz w:val="24"/>
                <w:szCs w:val="24"/>
              </w:rPr>
            </w:r>
          </w:p>
          <w:p>
            <w:pPr>
              <w:pStyle w:val="Standard"/>
              <w:spacing w:lineRule="atLeast" w:line="100" w:before="0" w:after="0"/>
              <w:rPr>
                <w:rFonts w:ascii="Arial Narrow" w:hAnsi="Arial Narrow" w:cs="Arial Narrow"/>
                <w:b/>
                <w:b/>
              </w:rPr>
            </w:pPr>
            <w:r>
              <w:rPr>
                <w:rFonts w:cs="Arial Narrow" w:ascii="Arial" w:hAnsi="Arial"/>
                <w:b/>
                <w:color w:val="auto"/>
                <w:sz w:val="24"/>
                <w:szCs w:val="24"/>
              </w:rPr>
              <w:t>Przedszkole Publiczne nr 8</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siedzibę jednostki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p>
            <w:pPr>
              <w:pStyle w:val="Standard"/>
              <w:spacing w:lineRule="atLeast" w:line="100" w:before="0" w:after="0"/>
              <w:rPr>
                <w:b/>
                <w:b/>
                <w:sz w:val="24"/>
                <w:szCs w:val="24"/>
              </w:rPr>
            </w:pPr>
            <w:r>
              <w:rPr>
                <w:rFonts w:ascii="Arial" w:hAnsi="Arial"/>
                <w:b/>
                <w:color w:val="auto"/>
                <w:sz w:val="24"/>
                <w:szCs w:val="24"/>
              </w:rPr>
              <w:t>Włocławek, ul. Targowa 3</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adres jednostki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cs="Arial Narrow"/>
                <w:b/>
                <w:b/>
                <w:color w:val="auto"/>
                <w:sz w:val="24"/>
                <w:szCs w:val="24"/>
              </w:rPr>
            </w:pPr>
            <w:r>
              <w:rPr>
                <w:rFonts w:cs="Arial Narrow" w:ascii="Arial" w:hAnsi="Arial"/>
                <w:b/>
                <w:color w:val="auto"/>
                <w:sz w:val="24"/>
                <w:szCs w:val="24"/>
              </w:rPr>
            </w:r>
          </w:p>
          <w:p>
            <w:pPr>
              <w:pStyle w:val="Standard"/>
              <w:spacing w:lineRule="atLeast" w:line="100" w:before="0" w:after="0"/>
              <w:rPr>
                <w:rFonts w:ascii="Arial" w:hAnsi="Arial"/>
                <w:color w:val="auto"/>
                <w:sz w:val="24"/>
                <w:szCs w:val="24"/>
              </w:rPr>
            </w:pPr>
            <w:r>
              <w:rPr>
                <w:rFonts w:cs="Arial Narrow" w:ascii="Arial" w:hAnsi="Arial"/>
                <w:b/>
                <w:color w:val="auto"/>
                <w:sz w:val="24"/>
                <w:szCs w:val="24"/>
              </w:rPr>
              <w:t>Włocławek, ul. Targowa 3</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1.4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podstawowy przedmiot działalności jednostki</w:t>
            </w:r>
          </w:p>
        </w:tc>
      </w:tr>
      <w:tr>
        <w:trPr>
          <w:trHeight w:val="716" w:hRule="atLeast"/>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tLeast" w:line="100" w:before="0" w:after="0"/>
              <w:jc w:val="both"/>
              <w:rPr>
                <w:rFonts w:ascii="Arial Narrow" w:hAnsi="Arial Narrow" w:cs="Arial Narrow"/>
                <w:b/>
                <w:b/>
                <w:sz w:val="24"/>
                <w:szCs w:val="24"/>
              </w:rPr>
            </w:pPr>
            <w:r>
              <w:rPr>
                <w:rFonts w:cs="Arial Narrow" w:ascii="Arial" w:hAnsi="Arial"/>
                <w:b/>
                <w:color w:val="auto"/>
                <w:sz w:val="24"/>
                <w:szCs w:val="24"/>
              </w:rPr>
              <w:t>Podstawę prawną działalności Przedszkola Publicznego Nr 8 stanowi ustawa z dnia 14 grudnia 2016 r. Prawo Oświatowe (tekst jednolity Dz. U. z 2017 r. poz. 59) oraz wydane do niej przepisy wykonawcze oraz Statut Przedszkola Publicznego Nr 8.</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wskazanie okresu objętego sprawozdaniem</w:t>
            </w:r>
          </w:p>
        </w:tc>
      </w:tr>
      <w:tr>
        <w:trPr>
          <w:trHeight w:val="396" w:hRule="atLeast"/>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atLeast" w:line="100" w:before="0" w:after="0"/>
              <w:rPr>
                <w:rFonts w:ascii="Arial Narrow" w:hAnsi="Arial Narrow" w:cs="Arial Narrow"/>
                <w:b/>
                <w:b/>
              </w:rPr>
            </w:pPr>
            <w:r>
              <w:rPr>
                <w:rFonts w:cs="Arial Narrow" w:ascii="Arial" w:hAnsi="Arial"/>
                <w:b/>
                <w:color w:val="auto"/>
                <w:sz w:val="24"/>
                <w:szCs w:val="24"/>
              </w:rPr>
              <w:t>01 stycznia 2024 - 31 grudnia 2024</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rFonts w:ascii="Arial" w:hAnsi="Arial"/>
                <w:color w:val="auto"/>
                <w:sz w:val="24"/>
                <w:szCs w:val="24"/>
              </w:rPr>
            </w:pPr>
            <w:r>
              <w:rPr>
                <w:rFonts w:ascii="Arial" w:hAnsi="Arial"/>
                <w:color w:val="auto"/>
                <w:sz w:val="24"/>
                <w:szCs w:val="24"/>
              </w:rPr>
              <w:t>wskazanie,</w:t>
            </w:r>
            <w:r>
              <w:rPr>
                <w:rFonts w:ascii="Arial" w:hAnsi="Arial"/>
                <w:color w:val="auto"/>
                <w:spacing w:val="13"/>
                <w:sz w:val="24"/>
                <w:szCs w:val="24"/>
              </w:rPr>
              <w:t xml:space="preserve"> </w:t>
            </w:r>
            <w:r>
              <w:rPr>
                <w:rFonts w:ascii="Arial" w:hAnsi="Arial"/>
                <w:color w:val="auto"/>
                <w:sz w:val="24"/>
                <w:szCs w:val="24"/>
              </w:rPr>
              <w:t>że</w:t>
            </w:r>
            <w:r>
              <w:rPr>
                <w:rFonts w:ascii="Arial" w:hAnsi="Arial"/>
                <w:color w:val="auto"/>
                <w:spacing w:val="13"/>
                <w:sz w:val="24"/>
                <w:szCs w:val="24"/>
              </w:rPr>
              <w:t xml:space="preserve"> </w:t>
            </w:r>
            <w:r>
              <w:rPr>
                <w:rFonts w:ascii="Arial" w:hAnsi="Arial"/>
                <w:color w:val="auto"/>
                <w:sz w:val="24"/>
                <w:szCs w:val="24"/>
              </w:rPr>
              <w:t>sprawozdanie</w:t>
            </w:r>
            <w:r>
              <w:rPr>
                <w:rFonts w:ascii="Arial" w:hAnsi="Arial"/>
                <w:color w:val="auto"/>
                <w:spacing w:val="13"/>
                <w:sz w:val="24"/>
                <w:szCs w:val="24"/>
              </w:rPr>
              <w:t xml:space="preserve"> </w:t>
            </w:r>
            <w:r>
              <w:rPr>
                <w:rFonts w:ascii="Arial" w:hAnsi="Arial"/>
                <w:color w:val="auto"/>
                <w:sz w:val="24"/>
                <w:szCs w:val="24"/>
              </w:rPr>
              <w:t>finansowe</w:t>
            </w:r>
            <w:r>
              <w:rPr>
                <w:rFonts w:ascii="Arial" w:hAnsi="Arial"/>
                <w:color w:val="auto"/>
                <w:spacing w:val="13"/>
                <w:sz w:val="24"/>
                <w:szCs w:val="24"/>
              </w:rPr>
              <w:t xml:space="preserve"> </w:t>
            </w:r>
            <w:r>
              <w:rPr>
                <w:rFonts w:ascii="Arial" w:hAnsi="Arial"/>
                <w:color w:val="auto"/>
                <w:sz w:val="24"/>
                <w:szCs w:val="24"/>
              </w:rPr>
              <w:t>zawiera</w:t>
            </w:r>
            <w:r>
              <w:rPr>
                <w:rFonts w:ascii="Arial" w:hAnsi="Arial"/>
                <w:color w:val="auto"/>
                <w:spacing w:val="13"/>
                <w:sz w:val="24"/>
                <w:szCs w:val="24"/>
              </w:rPr>
              <w:t xml:space="preserve"> </w:t>
            </w:r>
            <w:r>
              <w:rPr>
                <w:rFonts w:ascii="Arial" w:hAnsi="Arial"/>
                <w:color w:val="auto"/>
                <w:sz w:val="24"/>
                <w:szCs w:val="24"/>
              </w:rPr>
              <w:t>dane</w:t>
            </w:r>
            <w:r>
              <w:rPr>
                <w:rFonts w:ascii="Arial" w:hAnsi="Arial"/>
                <w:color w:val="auto"/>
                <w:spacing w:val="13"/>
                <w:sz w:val="24"/>
                <w:szCs w:val="24"/>
              </w:rPr>
              <w:t xml:space="preserve"> </w:t>
            </w:r>
            <w:r>
              <w:rPr>
                <w:rFonts w:ascii="Arial" w:hAnsi="Arial"/>
                <w:color w:val="auto"/>
                <w:sz w:val="24"/>
                <w:szCs w:val="24"/>
              </w:rPr>
              <w:t>łączne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olor w:val="auto"/>
                <w:sz w:val="24"/>
                <w:szCs w:val="24"/>
              </w:rPr>
            </w:pPr>
            <w:r>
              <w:rPr>
                <w:rFonts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sz w:val="20"/>
                <w:szCs w:val="20"/>
              </w:rPr>
            </w:pPr>
            <w:r>
              <w:rPr>
                <w:rFonts w:ascii="Arial" w:hAnsi="Arial"/>
                <w:color w:val="auto"/>
                <w:sz w:val="24"/>
                <w:szCs w:val="24"/>
              </w:rPr>
              <w:t>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rFonts w:ascii="Arial" w:hAnsi="Arial"/>
                <w:color w:val="auto"/>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numPr>
                <w:ilvl w:val="0"/>
                <w:numId w:val="5"/>
              </w:numPr>
              <w:spacing w:lineRule="atLeast" w:line="100" w:before="0" w:after="0"/>
              <w:ind w:left="196" w:hanging="196"/>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Środki trwałe w budowie wycenia się w wysokości ogółu kosztów pozostających w bezpośrednim związku z ich wytworzeniem.</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Rzeczowe składniki aktywów obrotowych wycenia się według cen nabycia lub kosztów wytworzenia nie wyższych od cen sprzedaży netto na dzień bilansowy.</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Należności wycenia się w kwocie wymagalnej zapłaty z zachowaniem zasady ostrożności.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Zobowiązania wycenia się w kwocie wymagającej zapłaty.</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Rezerwy wycenia się w uzasadnionej, wiarygodnie oszacowanej wartości.</w:t>
            </w:r>
          </w:p>
          <w:p>
            <w:pPr>
              <w:pStyle w:val="Standard"/>
              <w:numPr>
                <w:ilvl w:val="0"/>
                <w:numId w:val="6"/>
              </w:numPr>
              <w:spacing w:lineRule="atLeast" w:line="100" w:before="0" w:after="0"/>
              <w:jc w:val="both"/>
              <w:rPr>
                <w:rFonts w:ascii="Arial" w:hAnsi="Arial"/>
                <w:color w:val="auto"/>
                <w:sz w:val="24"/>
                <w:szCs w:val="24"/>
              </w:rPr>
            </w:pPr>
            <w:r>
              <w:rPr>
                <w:rFonts w:cs="Arial Narrow" w:ascii="Arial" w:hAnsi="Arial"/>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Standard"/>
              <w:spacing w:lineRule="atLeast" w:line="100" w:before="0" w:after="0"/>
              <w:ind w:left="376" w:hanging="180"/>
              <w:jc w:val="both"/>
              <w:rPr>
                <w:rFonts w:ascii="Arial" w:hAnsi="Arial"/>
                <w:color w:val="auto"/>
                <w:sz w:val="24"/>
                <w:szCs w:val="24"/>
              </w:rPr>
            </w:pPr>
            <w:r>
              <w:rPr>
                <w:rFonts w:eastAsia="Arial Narrow" w:cs="Arial Narrow" w:ascii="Arial" w:hAnsi="Arial"/>
                <w:color w:val="auto"/>
                <w:sz w:val="24"/>
                <w:szCs w:val="24"/>
              </w:rPr>
              <w:t xml:space="preserve"> </w:t>
            </w:r>
            <w:r>
              <w:rPr>
                <w:rFonts w:cs="Arial Narrow"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Standard"/>
              <w:numPr>
                <w:ilvl w:val="0"/>
                <w:numId w:val="7"/>
              </w:numPr>
              <w:spacing w:lineRule="atLeast" w:line="100" w:before="0" w:after="0"/>
              <w:jc w:val="both"/>
              <w:rPr>
                <w:rFonts w:ascii="Arial" w:hAnsi="Arial"/>
                <w:color w:val="auto"/>
                <w:sz w:val="24"/>
                <w:szCs w:val="24"/>
              </w:rPr>
            </w:pPr>
            <w:r>
              <w:rPr>
                <w:rFonts w:cs="Arial Narrow" w:ascii="Arial" w:hAnsi="Arial"/>
                <w:b/>
                <w:color w:val="auto"/>
                <w:sz w:val="24"/>
                <w:szCs w:val="24"/>
              </w:rPr>
              <w:t>I</w:t>
            </w:r>
            <w:r>
              <w:rPr>
                <w:rFonts w:cs="Arial Narrow" w:ascii="Arial" w:hAnsi="Arial"/>
                <w:color w:val="auto"/>
                <w:sz w:val="24"/>
                <w:szCs w:val="24"/>
              </w:rPr>
              <w:t>Zasady amortyzacji (umorzenia) środków trwałych i wartości niematerialnych i prawnych.</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color w:val="auto"/>
                <w:sz w:val="24"/>
                <w:szCs w:val="24"/>
                <w:lang w:eastAsia="pl-PL"/>
              </w:rPr>
              <w:t>Meble, krzesła, dywany, wykładziny ewidencjonowane są na koncie 013 – pozostałe środki trwałe - bez względu na wartość.</w:t>
            </w:r>
          </w:p>
          <w:p>
            <w:pPr>
              <w:pStyle w:val="Standard"/>
              <w:numPr>
                <w:ilvl w:val="0"/>
                <w:numId w:val="0"/>
              </w:numPr>
              <w:spacing w:lineRule="atLeast" w:line="100" w:before="0" w:after="0"/>
              <w:ind w:left="916" w:hanging="0"/>
              <w:jc w:val="both"/>
              <w:rPr>
                <w:rFonts w:ascii="Arial Narrow" w:hAnsi="Arial Narrow" w:cs="Arial Narrow"/>
                <w:lang w:eastAsia="pl-PL"/>
              </w:rPr>
            </w:pPr>
            <w:r>
              <w:rPr>
                <w:rFonts w:cs="Arial Narrow"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Standard"/>
              <w:numPr>
                <w:ilvl w:val="0"/>
                <w:numId w:val="0"/>
              </w:numPr>
              <w:spacing w:lineRule="atLeast" w:line="100" w:before="0" w:after="0"/>
              <w:ind w:left="916" w:hanging="0"/>
              <w:jc w:val="both"/>
              <w:rPr>
                <w:rFonts w:ascii="Arial Narrow" w:hAnsi="Arial Narrow" w:cs="Arial Narrow"/>
              </w:rPr>
            </w:pPr>
            <w:r>
              <w:rPr>
                <w:rFonts w:cs="Arial Narrow" w:ascii="Arial" w:hAnsi="Arial"/>
                <w:color w:val="auto"/>
                <w:sz w:val="24"/>
                <w:szCs w:val="24"/>
              </w:rPr>
              <w:t>Przedmioty o okresie używania dłuższym niż rok o wartości od 300 zł do 10.000 zł. umarza się metodą uproszczoną, przez jednorazowy odpis w pełnej ich wartości w miesiącu zakupu i ujmuje się w ewidencji bilansowej na koncie 013 – pozostałe środki trwałe.</w:t>
            </w:r>
          </w:p>
          <w:p>
            <w:pPr>
              <w:pStyle w:val="Standard"/>
              <w:spacing w:lineRule="atLeast" w:line="100" w:before="0" w:after="0"/>
              <w:ind w:left="196" w:hanging="0"/>
              <w:jc w:val="both"/>
              <w:rPr>
                <w:rFonts w:ascii="Arial Narrow" w:hAnsi="Arial Narrow" w:cs="Arial Narrow"/>
              </w:rPr>
            </w:pPr>
            <w:r>
              <w:rPr>
                <w:rFonts w:cs="Arial Narrow" w:ascii="Arial" w:hAnsi="Arial"/>
                <w:color w:val="auto"/>
                <w:sz w:val="24"/>
                <w:szCs w:val="24"/>
              </w:rPr>
              <w:t>Ponadto, bez względu na wartość jednorazowo umarza się:</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Książki i inne zbiory biblioteczne.</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Środki dydaktyczne służące procesowi dydaktyczno-wychowawczemu realizowanemu w szkołach i placówkach oświatowych.</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Meble, dywany i wykładziny.</w:t>
            </w:r>
          </w:p>
          <w:p>
            <w:pPr>
              <w:pStyle w:val="Standard"/>
              <w:numPr>
                <w:ilvl w:val="0"/>
                <w:numId w:val="8"/>
              </w:numPr>
              <w:spacing w:lineRule="atLeast" w:line="100" w:before="0" w:after="0"/>
              <w:jc w:val="both"/>
              <w:rPr>
                <w:rFonts w:ascii="Arial" w:hAnsi="Arial"/>
                <w:color w:val="auto"/>
                <w:sz w:val="24"/>
                <w:szCs w:val="24"/>
              </w:rPr>
            </w:pPr>
            <w:r>
              <w:rPr>
                <w:rFonts w:cs="Arial Narrow" w:ascii="Arial" w:hAnsi="Arial"/>
                <w:color w:val="auto"/>
                <w:sz w:val="24"/>
                <w:szCs w:val="24"/>
              </w:rPr>
              <w:t>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w:t>
            </w:r>
          </w:p>
          <w:p>
            <w:pPr>
              <w:pStyle w:val="Standard"/>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Standard"/>
              <w:numPr>
                <w:ilvl w:val="0"/>
                <w:numId w:val="9"/>
              </w:numPr>
              <w:spacing w:lineRule="atLeast" w:line="100" w:before="0" w:after="0"/>
              <w:jc w:val="both"/>
              <w:rPr>
                <w:rFonts w:ascii="Arial" w:hAnsi="Arial"/>
                <w:color w:val="auto"/>
                <w:sz w:val="24"/>
                <w:szCs w:val="24"/>
              </w:rPr>
            </w:pPr>
            <w:r>
              <w:rPr>
                <w:rFonts w:cs="Arial Narrow" w:ascii="Arial" w:hAnsi="Arial"/>
                <w:b/>
                <w:bCs/>
                <w:color w:val="auto"/>
                <w:sz w:val="24"/>
                <w:szCs w:val="24"/>
              </w:rPr>
              <w:t>I</w:t>
            </w:r>
            <w:r>
              <w:rPr>
                <w:rFonts w:cs="Arial Narrow" w:ascii="Arial" w:hAnsi="Arial"/>
                <w:bCs/>
                <w:color w:val="auto"/>
                <w:sz w:val="24"/>
                <w:szCs w:val="24"/>
              </w:rPr>
              <w:t xml:space="preserve"> Ustala się następujące techniki dokumentowania zapisów księgowych oraz stosowanych uproszczeń:</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Księgi rachunkowe prowadzone są w siedzibie Centrum Usług Wspólnych Placówek Oświatowych na ul. Wojska Polskiego 27 we Włocławku.</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Rokiem obrotowym jest okres roku budżetowego, czyli rok kalendarzowy od 1 stycznia do 31 grudnia.</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Najkrótszym okresem sprawozdawczym są poszczególne miesiące.</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Księgi rachunkowe prowadzi się w języku polskim.</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Wykazane w księgach rachunkowych na dzień ich zamknięcia stany aktywów i pasywów, ujmuje się w tej samej wysokości w bilansie otwarcia następnego roku obrotowego.</w:t>
            </w:r>
          </w:p>
          <w:p>
            <w:pPr>
              <w:pStyle w:val="Standard"/>
              <w:numPr>
                <w:ilvl w:val="0"/>
                <w:numId w:val="10"/>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Standard"/>
              <w:numPr>
                <w:ilvl w:val="0"/>
                <w:numId w:val="10"/>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Księgi rachunkowe obejmują zbiory zapisów księgowych, obrotów i sald, które tworzą:</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dziennik,</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księgę główną (ewidencji syntetycznej) w której obowiązuje ujęcie każdej operacji zgodnie z zasadą podwójnego zapisu (Wn – Ma),</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pomocnicze (analityczne),</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zestawienie obrotów i sald księgi głównej i ksiąg pomocniczych,</w:t>
            </w:r>
          </w:p>
          <w:p>
            <w:pPr>
              <w:pStyle w:val="Standard"/>
              <w:numPr>
                <w:ilvl w:val="0"/>
                <w:numId w:val="11"/>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wykaz składników aktywów i pasywów (inwentarz).</w:t>
            </w:r>
          </w:p>
          <w:p>
            <w:pPr>
              <w:pStyle w:val="Standard"/>
              <w:spacing w:lineRule="atLeast" w:line="100" w:before="0" w:after="0"/>
              <w:ind w:left="376" w:hanging="0"/>
              <w:jc w:val="both"/>
              <w:rPr>
                <w:rFonts w:ascii="Arial Narrow" w:hAnsi="Arial Narrow" w:cs="Arial Narrow"/>
              </w:rPr>
            </w:pPr>
            <w:r>
              <w:rPr>
                <w:rFonts w:cs="Arial Narrow"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Zapisy w księgach rachunkowych dokonuje się na podstawie dowodów księgowych:</w:t>
            </w:r>
          </w:p>
          <w:p>
            <w:pPr>
              <w:pStyle w:val="Standard"/>
              <w:numPr>
                <w:ilvl w:val="0"/>
                <w:numId w:val="13"/>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zewnętrznych (otrzymywanych od kontrahentów - przekazywanych w oryginale kontrahentom),</w:t>
            </w:r>
          </w:p>
          <w:p>
            <w:pPr>
              <w:pStyle w:val="Standard"/>
              <w:numPr>
                <w:ilvl w:val="0"/>
                <w:numId w:val="13"/>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wewnętrznych – (dotyczące operacji wewnątrz jednostki).</w:t>
            </w:r>
          </w:p>
          <w:p>
            <w:pPr>
              <w:pStyle w:val="Standard"/>
              <w:numPr>
                <w:ilvl w:val="0"/>
                <w:numId w:val="0"/>
              </w:numPr>
              <w:spacing w:lineRule="atLeast" w:line="100" w:before="0" w:after="0"/>
              <w:ind w:left="1096" w:hanging="0"/>
              <w:jc w:val="both"/>
              <w:rPr>
                <w:rFonts w:ascii="Arial Narrow" w:hAnsi="Arial Narrow" w:cs="Arial Narrow"/>
              </w:rPr>
            </w:pPr>
            <w:r>
              <w:rPr>
                <w:rFonts w:cs="Arial Narrow"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Konta syntetyczne oznaczone są symbolami trzycyfrowymi.</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Prowadzone są dzienniki częściowe dla określonych grup rodzajowych zdarzeń: budżet, dochody (w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Rozliczanie i grupowanie kosztów następują na kontach rodzajowych zespołu „4” z zachowaniem zgodności wydatków za dany rok.</w:t>
            </w:r>
          </w:p>
          <w:p>
            <w:pPr>
              <w:pStyle w:val="Standard"/>
              <w:numPr>
                <w:ilvl w:val="0"/>
                <w:numId w:val="12"/>
              </w:numPr>
              <w:spacing w:lineRule="atLeast" w:line="100" w:before="0" w:after="0"/>
              <w:ind w:left="196" w:hanging="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Dochody i wydatki budżetowe klasyfikuje się według:</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działów i rozdziałów – określających rodzaj działalności,</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paragrafów - określających rodzaj dochodu lub wydatku, zgodnie z obowiązującą klasyfikacją budżetową,</w:t>
            </w:r>
          </w:p>
          <w:p>
            <w:pPr>
              <w:pStyle w:val="Standard"/>
              <w:numPr>
                <w:ilvl w:val="0"/>
                <w:numId w:val="14"/>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pozycji – uszczegółowienie dochodów i wydatków do potrzeb analiz i sprawozdań.</w:t>
            </w:r>
          </w:p>
          <w:p>
            <w:pPr>
              <w:pStyle w:val="Standard"/>
              <w:numPr>
                <w:ilvl w:val="0"/>
                <w:numId w:val="12"/>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Wydatki budżetowe są realizowane:</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sposób celowy i oszczędny,</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umożliwiający terminową realizację zadań,</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wysokości i terminach wynikających z wcześniej zaciągniętych zobowiązań,</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zgodnie z zasadami określonymi w przepisach o zamówieniach publicznych,</w:t>
            </w:r>
          </w:p>
          <w:p>
            <w:pPr>
              <w:pStyle w:val="Standard"/>
              <w:numPr>
                <w:ilvl w:val="0"/>
                <w:numId w:val="15"/>
              </w:numPr>
              <w:spacing w:lineRule="atLeast" w:line="100" w:before="0" w:after="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nie powodując naruszeń dyscypliny budżetowej w rozumieniu Ustawy o odpowiedzialności za naruszenie dyscypliny finansów publicznych.</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Standard"/>
              <w:numPr>
                <w:ilvl w:val="0"/>
                <w:numId w:val="12"/>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Standard"/>
              <w:spacing w:lineRule="atLeast" w:line="100" w:before="0" w:after="0"/>
              <w:ind w:left="556" w:hanging="0"/>
              <w:jc w:val="both"/>
              <w:rPr>
                <w:rFonts w:ascii="Arial Narrow" w:hAnsi="Arial Narrow" w:cs="Arial Narrow"/>
              </w:rPr>
            </w:pPr>
            <w:r>
              <w:rPr>
                <w:rFonts w:cs="Arial Narrow" w:ascii="Arial" w:hAnsi="Arial"/>
                <w:color w:val="auto"/>
                <w:sz w:val="24"/>
                <w:szCs w:val="24"/>
              </w:rPr>
              <w:t>Szczególnie dowodami zastępczymi dokumentowane są:</w:t>
            </w:r>
          </w:p>
          <w:p>
            <w:pPr>
              <w:pStyle w:val="Standard"/>
              <w:numPr>
                <w:ilvl w:val="0"/>
                <w:numId w:val="3"/>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różne opłaty (sądowe itp.),</w:t>
            </w:r>
          </w:p>
          <w:p>
            <w:pPr>
              <w:pStyle w:val="Standard"/>
              <w:numPr>
                <w:ilvl w:val="0"/>
                <w:numId w:val="2"/>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pokwitowania za parkingi</w:t>
            </w:r>
          </w:p>
          <w:p>
            <w:pPr>
              <w:pStyle w:val="Standard"/>
              <w:numPr>
                <w:ilvl w:val="0"/>
                <w:numId w:val="2"/>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przejazdy autostradami,</w:t>
            </w:r>
          </w:p>
          <w:p>
            <w:pPr>
              <w:pStyle w:val="Standard"/>
              <w:numPr>
                <w:ilvl w:val="0"/>
                <w:numId w:val="4"/>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abonament radiowo-telewizyjny,</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opłaty za udział w targach szkół i placówek,</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pokwitowanie za listy polecone,</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podatek od nieruchomości,</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podatek od środków transportu,</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świadczenia dla pracowników z ZFŚS zgodnie z dyspozycją pisemną Kierownika jednostki obsługiwanej,</w:t>
            </w:r>
          </w:p>
          <w:p>
            <w:pPr>
              <w:pStyle w:val="Standard"/>
              <w:numPr>
                <w:ilvl w:val="0"/>
                <w:numId w:val="1"/>
              </w:numPr>
              <w:tabs>
                <w:tab w:val="clear" w:pos="708"/>
                <w:tab w:val="left" w:pos="1069" w:leader="none"/>
              </w:tabs>
              <w:spacing w:lineRule="atLeast" w:line="100" w:before="0" w:after="0"/>
              <w:ind w:left="556" w:hanging="0"/>
              <w:jc w:val="both"/>
              <w:rPr>
                <w:rFonts w:ascii="Arial Narrow" w:hAnsi="Arial Narrow" w:cs="Arial Narrow"/>
              </w:rPr>
            </w:pPr>
            <w:r>
              <w:rPr>
                <w:rFonts w:cs="Arial Narrow" w:ascii="Arial" w:hAnsi="Arial"/>
                <w:color w:val="auto"/>
                <w:sz w:val="24"/>
                <w:szCs w:val="24"/>
              </w:rPr>
              <w:t>bilety przy delegacjach służbowych.</w:t>
            </w:r>
          </w:p>
          <w:p>
            <w:pPr>
              <w:pStyle w:val="Standard"/>
              <w:numPr>
                <w:ilvl w:val="0"/>
                <w:numId w:val="16"/>
              </w:numPr>
              <w:spacing w:lineRule="atLeast" w:line="100" w:before="0" w:after="0"/>
              <w:ind w:left="556" w:hanging="36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Standard"/>
              <w:spacing w:lineRule="atLeast" w:line="100" w:before="0" w:after="0"/>
              <w:ind w:left="196" w:hanging="0"/>
              <w:jc w:val="both"/>
              <w:rPr>
                <w:rFonts w:ascii="Arial Narrow" w:hAnsi="Arial Narrow" w:cs="Arial Narrow"/>
              </w:rPr>
            </w:pPr>
            <w:r>
              <w:rPr>
                <w:rFonts w:cs="Arial Narrow" w:ascii="Arial" w:hAnsi="Arial"/>
                <w:color w:val="auto"/>
                <w:sz w:val="24"/>
                <w:szCs w:val="24"/>
              </w:rPr>
              <w:t>Dokonano wyboru następujących rozwiązań dokumentowania operacji dopuszczalnych ustawą:</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na pomniejszenie dochodów danego roku budżetowego ujmuje się zwroty dokonane rodzicom, opiekunom na podstawie rozliczeń zatwierdzonych przez Kierownika jednostki obsługiwanej, które wpływają do CUWPO, dotyczących opłaty za pobyt i opłaty za wyżywienie,</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roku budżetowego.</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Odsetki od należności, ujmuje się w księgach rachunkowych w momencie ich zapłaty lub na koniec kwartału w wysokości odsetek należnych na koniec tego kwartału.</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Wycena aktywów i pasywów wyrażonych w walutach obcych dokonuje się nie później niż na koniec kwartału.</w:t>
            </w:r>
          </w:p>
          <w:p>
            <w:pPr>
              <w:pStyle w:val="Standard"/>
              <w:numPr>
                <w:ilvl w:val="0"/>
                <w:numId w:val="17"/>
              </w:numPr>
              <w:spacing w:lineRule="atLeast" w:line="100" w:before="0" w:after="0"/>
              <w:ind w:left="55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Standard"/>
              <w:numPr>
                <w:ilvl w:val="0"/>
                <w:numId w:val="18"/>
              </w:numPr>
              <w:spacing w:lineRule="atLeast" w:line="100" w:before="0" w:after="0"/>
              <w:ind w:left="16" w:hanging="0"/>
              <w:jc w:val="both"/>
              <w:rPr>
                <w:rFonts w:ascii="Arial" w:hAnsi="Arial"/>
                <w:color w:val="auto"/>
                <w:sz w:val="24"/>
                <w:szCs w:val="24"/>
              </w:rPr>
            </w:pPr>
            <w:r>
              <w:rPr>
                <w:rFonts w:cs="Arial Narrow" w:ascii="Arial" w:hAnsi="Arial"/>
                <w:b/>
                <w:color w:val="auto"/>
                <w:sz w:val="24"/>
                <w:szCs w:val="24"/>
              </w:rPr>
              <w:t>IV.</w:t>
            </w:r>
            <w:r>
              <w:rPr>
                <w:rFonts w:cs="Arial Narrow" w:ascii="Arial" w:hAnsi="Arial"/>
                <w:color w:val="auto"/>
                <w:sz w:val="24"/>
                <w:szCs w:val="24"/>
              </w:rPr>
              <w:t xml:space="preserve"> Rozliczenia z tytułu VAT.</w:t>
            </w:r>
          </w:p>
          <w:p>
            <w:pPr>
              <w:pStyle w:val="Standard"/>
              <w:numPr>
                <w:ilvl w:val="0"/>
                <w:numId w:val="19"/>
              </w:numPr>
              <w:spacing w:lineRule="atLeast" w:line="100" w:before="0" w:after="240"/>
              <w:ind w:left="397" w:hanging="284"/>
              <w:jc w:val="both"/>
              <w:rPr>
                <w:rFonts w:ascii="Arial" w:hAnsi="Arial"/>
                <w:color w:val="auto"/>
                <w:sz w:val="24"/>
                <w:szCs w:val="24"/>
              </w:rPr>
            </w:pPr>
            <w:r>
              <w:rPr>
                <w:rFonts w:eastAsia="Times New Roman" w:cs="Arial Narrow" w:ascii="Arial" w:hAnsi="Arial"/>
                <w:color w:val="auto"/>
                <w:sz w:val="24"/>
                <w:szCs w:val="24"/>
                <w:lang w:eastAsia="pl-PL"/>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 r.</w:t>
            </w:r>
          </w:p>
          <w:p>
            <w:pPr>
              <w:pStyle w:val="Standard"/>
              <w:spacing w:lineRule="atLeast" w:line="100" w:before="0" w:after="240"/>
              <w:ind w:firstLine="263"/>
              <w:jc w:val="both"/>
              <w:rPr>
                <w:rFonts w:ascii="Arial" w:hAnsi="Arial"/>
                <w:color w:val="auto"/>
                <w:sz w:val="24"/>
                <w:szCs w:val="24"/>
              </w:rPr>
            </w:pPr>
            <w:r>
              <w:rPr>
                <w:rFonts w:eastAsia="Times New Roman" w:cs="Arial Narrow" w:ascii="Arial" w:hAnsi="Arial"/>
                <w:color w:val="auto"/>
                <w:sz w:val="24"/>
                <w:szCs w:val="24"/>
                <w:lang w:eastAsia="pl-PL"/>
              </w:rPr>
              <w:t>W celu realizacji MPP (Mechanizm Podzielonej Płatności)</w:t>
            </w:r>
            <w:r>
              <w:rPr>
                <w:rFonts w:eastAsia="Times New Roman" w:cs="Arial Narrow" w:ascii="Arial" w:hAnsi="Arial"/>
                <w:b/>
                <w:bCs/>
                <w:color w:val="auto"/>
                <w:sz w:val="24"/>
                <w:szCs w:val="24"/>
                <w:lang w:eastAsia="pl-PL"/>
              </w:rPr>
              <w:t> </w:t>
            </w:r>
            <w:r>
              <w:rPr>
                <w:rFonts w:eastAsia="Times New Roman" w:cs="Arial Narrow" w:ascii="Arial" w:hAnsi="Arial"/>
                <w:color w:val="auto"/>
                <w:sz w:val="24"/>
                <w:szCs w:val="24"/>
                <w:lang w:eastAsia="pl-PL"/>
              </w:rPr>
              <w:t>wydzielono w księgach rachunkowych dodatkowe konta analityczne " VAT".</w:t>
            </w:r>
          </w:p>
          <w:p>
            <w:pPr>
              <w:pStyle w:val="Standard"/>
              <w:numPr>
                <w:ilvl w:val="0"/>
                <w:numId w:val="20"/>
              </w:numPr>
              <w:spacing w:lineRule="atLeast" w:line="100" w:before="0" w:after="0"/>
              <w:ind w:left="16" w:hanging="0"/>
              <w:jc w:val="both"/>
              <w:rPr>
                <w:rFonts w:ascii="Arial" w:hAnsi="Arial"/>
                <w:color w:val="auto"/>
                <w:sz w:val="24"/>
                <w:szCs w:val="24"/>
              </w:rPr>
            </w:pPr>
            <w:r>
              <w:rPr>
                <w:rFonts w:cs="Arial Narrow" w:ascii="Arial" w:hAnsi="Arial"/>
                <w:b/>
                <w:bCs/>
                <w:color w:val="auto"/>
                <w:sz w:val="24"/>
                <w:szCs w:val="24"/>
              </w:rPr>
              <w:t>V</w:t>
            </w:r>
            <w:r>
              <w:rPr>
                <w:rFonts w:cs="Arial Narrow" w:ascii="Arial" w:hAnsi="Arial"/>
                <w:bCs/>
                <w:color w:val="auto"/>
                <w:sz w:val="24"/>
                <w:szCs w:val="24"/>
              </w:rPr>
              <w:t>. Sprawozdawczość finansowa:</w:t>
            </w:r>
          </w:p>
          <w:p>
            <w:pPr>
              <w:pStyle w:val="Standard"/>
              <w:numPr>
                <w:ilvl w:val="0"/>
                <w:numId w:val="21"/>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Standard"/>
              <w:numPr>
                <w:ilvl w:val="0"/>
                <w:numId w:val="22"/>
              </w:numPr>
              <w:spacing w:lineRule="atLeast" w:line="100" w:before="0" w:after="0"/>
              <w:ind w:left="16" w:hanging="0"/>
              <w:jc w:val="both"/>
              <w:rPr>
                <w:rFonts w:ascii="Arial" w:hAnsi="Arial"/>
                <w:color w:val="auto"/>
                <w:sz w:val="24"/>
                <w:szCs w:val="24"/>
              </w:rPr>
            </w:pPr>
            <w:r>
              <w:rPr>
                <w:rFonts w:cs="Arial Narrow" w:ascii="Arial" w:hAnsi="Arial"/>
                <w:bCs/>
                <w:iCs/>
                <w:color w:val="auto"/>
                <w:sz w:val="24"/>
                <w:szCs w:val="24"/>
              </w:rPr>
              <w:t xml:space="preserve"> </w:t>
            </w:r>
            <w:r>
              <w:rPr>
                <w:rFonts w:cs="Arial Narrow" w:ascii="Arial" w:hAnsi="Arial"/>
                <w:bCs/>
                <w:iCs/>
                <w:color w:val="auto"/>
                <w:sz w:val="24"/>
                <w:szCs w:val="24"/>
              </w:rPr>
              <w:t>Księgi rachunkowe prowadzi się techniką komputerową wg następującego oprogramowania:</w:t>
            </w:r>
          </w:p>
          <w:p>
            <w:pPr>
              <w:pStyle w:val="Standard"/>
              <w:numPr>
                <w:ilvl w:val="0"/>
                <w:numId w:val="23"/>
              </w:numPr>
              <w:spacing w:lineRule="atLeast" w:line="100" w:before="0" w:after="0"/>
              <w:ind w:left="376" w:hanging="180"/>
              <w:jc w:val="both"/>
              <w:rPr>
                <w:rFonts w:ascii="Arial" w:hAnsi="Arial"/>
                <w:color w:val="auto"/>
                <w:sz w:val="24"/>
                <w:szCs w:val="24"/>
              </w:rPr>
            </w:pPr>
            <w:r>
              <w:rPr>
                <w:rFonts w:cs="Arial Narrow" w:ascii="Arial" w:hAnsi="Arial"/>
                <w:color w:val="auto"/>
                <w:sz w:val="24"/>
                <w:szCs w:val="24"/>
              </w:rPr>
              <w:t xml:space="preserve"> </w:t>
            </w:r>
            <w:r>
              <w:rPr>
                <w:rFonts w:cs="Arial Narrow" w:ascii="Arial" w:hAnsi="Arial"/>
                <w:color w:val="auto"/>
                <w:sz w:val="24"/>
                <w:szCs w:val="24"/>
              </w:rPr>
              <w:t>Vulcan aplikacja Finanse VULCAN wersja zgodna z aktualizacjami programu - firma Vulcan Sp. z o.o. ul. Wołowska 6, 51-116 Wrocław. Administratorem platformy systemu Vulcan jest Gmina Miasto Włocławek.</w:t>
            </w:r>
          </w:p>
          <w:p>
            <w:pPr>
              <w:pStyle w:val="Standard"/>
              <w:spacing w:lineRule="atLeast" w:line="100" w:before="0" w:after="0"/>
              <w:jc w:val="both"/>
              <w:rPr>
                <w:rFonts w:ascii="Arial" w:hAnsi="Arial" w:cs="Arial Narrow"/>
                <w:color w:val="auto"/>
                <w:sz w:val="24"/>
                <w:szCs w:val="24"/>
              </w:rPr>
            </w:pPr>
            <w:r>
              <w:rPr>
                <w:rFonts w:cs="Arial Narrow" w:ascii="Arial" w:hAnsi="Arial"/>
                <w:color w:val="auto"/>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5.</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inne informacje</w:t>
            </w:r>
          </w:p>
        </w:tc>
      </w:tr>
      <w:tr>
        <w:trPr>
          <w:trHeight w:val="682" w:hRule="atLeast"/>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b/>
                <w:b/>
                <w:sz w:val="20"/>
                <w:szCs w:val="20"/>
              </w:rPr>
            </w:pPr>
            <w:r>
              <w:rPr>
                <w:rFonts w:cs="Calibri" w:ascii="Arial" w:hAnsi="Arial"/>
                <w:b/>
                <w:color w:val="auto"/>
                <w:sz w:val="24"/>
                <w:szCs w:val="24"/>
              </w:rPr>
              <w:t>II.</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bCs/>
                <w:color w:val="2E2014"/>
                <w:sz w:val="20"/>
                <w:szCs w:val="20"/>
              </w:rPr>
            </w:pPr>
            <w:r>
              <w:rPr>
                <w:rFonts w:ascii="Arial" w:hAnsi="Arial"/>
                <w:b/>
                <w:bCs/>
                <w:color w:val="auto"/>
                <w:sz w:val="24"/>
                <w:szCs w:val="24"/>
              </w:rPr>
              <w:t>Dodatkowe informacje i objaśnienia obejmują w szczególności:</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cs="Arial Narrow" w:ascii="Arial" w:hAnsi="Arial"/>
                <w:color w:val="auto"/>
                <w:sz w:val="24"/>
                <w:szCs w:val="24"/>
              </w:rPr>
              <w:t>szczegółowy</w:t>
            </w:r>
            <w:r>
              <w:rPr>
                <w:rFonts w:cs="Arial Narrow" w:ascii="Arial" w:hAnsi="Arial"/>
                <w:color w:val="auto"/>
                <w:spacing w:val="1"/>
                <w:sz w:val="24"/>
                <w:szCs w:val="24"/>
              </w:rPr>
              <w:t xml:space="preserve"> </w:t>
            </w:r>
            <w:r>
              <w:rPr>
                <w:rFonts w:cs="Arial Narrow" w:ascii="Arial" w:hAnsi="Arial"/>
                <w:color w:val="auto"/>
                <w:sz w:val="24"/>
                <w:szCs w:val="24"/>
              </w:rPr>
              <w:t>zakres</w:t>
            </w:r>
            <w:r>
              <w:rPr>
                <w:rFonts w:cs="Arial Narrow" w:ascii="Arial" w:hAnsi="Arial"/>
                <w:color w:val="auto"/>
                <w:spacing w:val="1"/>
                <w:sz w:val="24"/>
                <w:szCs w:val="24"/>
              </w:rPr>
              <w:t xml:space="preserve"> </w:t>
            </w:r>
            <w:r>
              <w:rPr>
                <w:rFonts w:cs="Arial Narrow" w:ascii="Arial" w:hAnsi="Arial"/>
                <w:color w:val="auto"/>
                <w:sz w:val="24"/>
                <w:szCs w:val="24"/>
              </w:rPr>
              <w:t>zmian</w:t>
            </w:r>
            <w:r>
              <w:rPr>
                <w:rFonts w:cs="Arial Narrow" w:ascii="Arial" w:hAnsi="Arial"/>
                <w:color w:val="auto"/>
                <w:spacing w:val="1"/>
                <w:sz w:val="24"/>
                <w:szCs w:val="24"/>
              </w:rPr>
              <w:t xml:space="preserve"> </w:t>
            </w:r>
            <w:r>
              <w:rPr>
                <w:rFonts w:cs="Arial Narrow" w:ascii="Arial" w:hAnsi="Arial"/>
                <w:color w:val="auto"/>
                <w:sz w:val="24"/>
                <w:szCs w:val="24"/>
              </w:rPr>
              <w:t>wartości</w:t>
            </w:r>
            <w:r>
              <w:rPr>
                <w:rFonts w:cs="Arial Narrow" w:ascii="Arial" w:hAnsi="Arial"/>
                <w:color w:val="auto"/>
                <w:spacing w:val="1"/>
                <w:sz w:val="24"/>
                <w:szCs w:val="24"/>
              </w:rPr>
              <w:t xml:space="preserve"> </w:t>
            </w:r>
            <w:r>
              <w:rPr>
                <w:rFonts w:cs="Arial Narrow" w:ascii="Arial" w:hAnsi="Arial"/>
                <w:color w:val="auto"/>
                <w:sz w:val="24"/>
                <w:szCs w:val="24"/>
              </w:rPr>
              <w:t>grup</w:t>
            </w:r>
            <w:r>
              <w:rPr>
                <w:rFonts w:cs="Arial Narrow" w:ascii="Arial" w:hAnsi="Arial"/>
                <w:color w:val="auto"/>
                <w:spacing w:val="1"/>
                <w:sz w:val="24"/>
                <w:szCs w:val="24"/>
              </w:rPr>
              <w:t xml:space="preserve"> </w:t>
            </w:r>
            <w:r>
              <w:rPr>
                <w:rFonts w:cs="Arial Narrow" w:ascii="Arial" w:hAnsi="Arial"/>
                <w:color w:val="auto"/>
                <w:sz w:val="24"/>
                <w:szCs w:val="24"/>
              </w:rPr>
              <w:t>rodzajowych</w:t>
            </w:r>
            <w:r>
              <w:rPr>
                <w:rFonts w:cs="Arial Narrow" w:ascii="Arial" w:hAnsi="Arial"/>
                <w:color w:val="auto"/>
                <w:spacing w:val="1"/>
                <w:sz w:val="24"/>
                <w:szCs w:val="24"/>
              </w:rPr>
              <w:t xml:space="preserve"> </w:t>
            </w:r>
            <w:r>
              <w:rPr>
                <w:rFonts w:cs="Arial Narrow" w:ascii="Arial" w:hAnsi="Arial"/>
                <w:color w:val="auto"/>
                <w:sz w:val="24"/>
                <w:szCs w:val="24"/>
              </w:rPr>
              <w:t>środków</w:t>
            </w:r>
            <w:r>
              <w:rPr>
                <w:rFonts w:cs="Arial Narrow" w:ascii="Arial" w:hAnsi="Arial"/>
                <w:color w:val="auto"/>
                <w:spacing w:val="1"/>
                <w:sz w:val="24"/>
                <w:szCs w:val="24"/>
              </w:rPr>
              <w:t xml:space="preserve"> </w:t>
            </w:r>
            <w:r>
              <w:rPr>
                <w:rFonts w:cs="Arial Narrow" w:ascii="Arial" w:hAnsi="Arial"/>
                <w:color w:val="auto"/>
                <w:sz w:val="24"/>
                <w:szCs w:val="24"/>
              </w:rPr>
              <w:t>trwałych,</w:t>
            </w:r>
            <w:r>
              <w:rPr>
                <w:rFonts w:cs="Arial Narrow" w:ascii="Arial" w:hAnsi="Arial"/>
                <w:color w:val="auto"/>
                <w:spacing w:val="1"/>
                <w:sz w:val="24"/>
                <w:szCs w:val="24"/>
              </w:rPr>
              <w:t xml:space="preserve"> </w:t>
            </w:r>
            <w:r>
              <w:rPr>
                <w:rFonts w:cs="Arial Narrow" w:ascii="Arial" w:hAnsi="Arial"/>
                <w:color w:val="auto"/>
                <w:sz w:val="24"/>
                <w:szCs w:val="24"/>
              </w:rPr>
              <w:t>wartości</w:t>
            </w:r>
            <w:r>
              <w:rPr>
                <w:rFonts w:cs="Arial Narrow" w:ascii="Arial" w:hAnsi="Arial"/>
                <w:color w:val="auto"/>
                <w:spacing w:val="1"/>
                <w:sz w:val="24"/>
                <w:szCs w:val="24"/>
              </w:rPr>
              <w:t xml:space="preserve"> </w:t>
            </w:r>
            <w:r>
              <w:rPr>
                <w:rFonts w:cs="Arial Narrow" w:ascii="Arial" w:hAnsi="Arial"/>
                <w:color w:val="auto"/>
                <w:sz w:val="24"/>
                <w:szCs w:val="24"/>
              </w:rPr>
              <w:t>niematerialnych i prawnych, zawierający stan tych aktywów na początek roku obrotowego, zwiększenia i zmniejszenia z tytułu: aktualizacji wartości,</w:t>
            </w:r>
            <w:r>
              <w:rPr>
                <w:rFonts w:cs="Arial Narrow" w:ascii="Arial" w:hAnsi="Arial"/>
                <w:color w:val="auto"/>
                <w:spacing w:val="-6"/>
                <w:sz w:val="24"/>
                <w:szCs w:val="24"/>
              </w:rPr>
              <w:t xml:space="preserve"> </w:t>
            </w:r>
            <w:r>
              <w:rPr>
                <w:rFonts w:cs="Arial Narrow" w:ascii="Arial" w:hAnsi="Arial"/>
                <w:color w:val="auto"/>
                <w:sz w:val="24"/>
                <w:szCs w:val="24"/>
              </w:rPr>
              <w:t>nabycia,</w:t>
            </w:r>
            <w:r>
              <w:rPr>
                <w:rFonts w:cs="Arial Narrow" w:ascii="Arial" w:hAnsi="Arial"/>
                <w:color w:val="auto"/>
                <w:spacing w:val="-6"/>
                <w:sz w:val="24"/>
                <w:szCs w:val="24"/>
              </w:rPr>
              <w:t xml:space="preserve"> </w:t>
            </w:r>
            <w:r>
              <w:rPr>
                <w:rFonts w:cs="Arial Narrow" w:ascii="Arial" w:hAnsi="Arial"/>
                <w:color w:val="auto"/>
                <w:sz w:val="24"/>
                <w:szCs w:val="24"/>
              </w:rPr>
              <w:t>rozchodu,</w:t>
            </w:r>
            <w:r>
              <w:rPr>
                <w:rFonts w:cs="Arial Narrow" w:ascii="Arial" w:hAnsi="Arial"/>
                <w:color w:val="auto"/>
                <w:spacing w:val="-6"/>
                <w:sz w:val="24"/>
                <w:szCs w:val="24"/>
              </w:rPr>
              <w:t xml:space="preserve"> </w:t>
            </w:r>
            <w:r>
              <w:rPr>
                <w:rFonts w:cs="Arial Narrow" w:ascii="Arial" w:hAnsi="Arial"/>
                <w:color w:val="auto"/>
                <w:sz w:val="24"/>
                <w:szCs w:val="24"/>
              </w:rPr>
              <w:t>przemieszczenia</w:t>
            </w:r>
            <w:r>
              <w:rPr>
                <w:rFonts w:cs="Arial Narrow" w:ascii="Arial" w:hAnsi="Arial"/>
                <w:color w:val="auto"/>
                <w:spacing w:val="-7"/>
                <w:sz w:val="24"/>
                <w:szCs w:val="24"/>
              </w:rPr>
              <w:t xml:space="preserve"> </w:t>
            </w:r>
            <w:r>
              <w:rPr>
                <w:rFonts w:cs="Arial Narrow" w:ascii="Arial" w:hAnsi="Arial"/>
                <w:color w:val="auto"/>
                <w:sz w:val="24"/>
                <w:szCs w:val="24"/>
              </w:rPr>
              <w:t>wewnętrznego</w:t>
            </w:r>
            <w:r>
              <w:rPr>
                <w:rFonts w:cs="Arial Narrow" w:ascii="Arial" w:hAnsi="Arial"/>
                <w:color w:val="auto"/>
                <w:spacing w:val="-6"/>
                <w:sz w:val="24"/>
                <w:szCs w:val="24"/>
              </w:rPr>
              <w:t xml:space="preserve"> </w:t>
            </w:r>
            <w:r>
              <w:rPr>
                <w:rFonts w:cs="Arial Narrow" w:ascii="Arial" w:hAnsi="Arial"/>
                <w:color w:val="auto"/>
                <w:sz w:val="24"/>
                <w:szCs w:val="24"/>
              </w:rPr>
              <w:t>oraz</w:t>
            </w:r>
            <w:r>
              <w:rPr>
                <w:rFonts w:cs="Arial Narrow" w:ascii="Arial" w:hAnsi="Arial"/>
                <w:color w:val="auto"/>
                <w:spacing w:val="-6"/>
                <w:sz w:val="24"/>
                <w:szCs w:val="24"/>
              </w:rPr>
              <w:t xml:space="preserve"> </w:t>
            </w:r>
            <w:r>
              <w:rPr>
                <w:rFonts w:cs="Arial Narrow" w:ascii="Arial" w:hAnsi="Arial"/>
                <w:color w:val="auto"/>
                <w:sz w:val="24"/>
                <w:szCs w:val="24"/>
              </w:rPr>
              <w:t>stan</w:t>
            </w:r>
            <w:r>
              <w:rPr>
                <w:rFonts w:cs="Arial Narrow" w:ascii="Arial" w:hAnsi="Arial"/>
                <w:color w:val="auto"/>
                <w:spacing w:val="-6"/>
                <w:sz w:val="24"/>
                <w:szCs w:val="24"/>
              </w:rPr>
              <w:t xml:space="preserve"> </w:t>
            </w:r>
            <w:r>
              <w:rPr>
                <w:rFonts w:cs="Arial Narrow" w:ascii="Arial" w:hAnsi="Arial"/>
                <w:color w:val="auto"/>
                <w:sz w:val="24"/>
                <w:szCs w:val="24"/>
              </w:rPr>
              <w:t>końcowy,</w:t>
            </w:r>
            <w:r>
              <w:rPr>
                <w:rFonts w:cs="Arial Narrow" w:ascii="Arial" w:hAnsi="Arial"/>
                <w:color w:val="auto"/>
                <w:spacing w:val="-6"/>
                <w:sz w:val="24"/>
                <w:szCs w:val="24"/>
              </w:rPr>
              <w:t xml:space="preserve"> </w:t>
            </w:r>
            <w:r>
              <w:rPr>
                <w:rFonts w:cs="Arial Narrow" w:ascii="Arial" w:hAnsi="Arial"/>
                <w:color w:val="auto"/>
                <w:sz w:val="24"/>
                <w:szCs w:val="24"/>
              </w:rPr>
              <w:t>a</w:t>
            </w:r>
            <w:r>
              <w:rPr>
                <w:rFonts w:cs="Arial Narrow" w:ascii="Arial" w:hAnsi="Arial"/>
                <w:color w:val="auto"/>
                <w:spacing w:val="-7"/>
                <w:sz w:val="24"/>
                <w:szCs w:val="24"/>
              </w:rPr>
              <w:t xml:space="preserve"> </w:t>
            </w:r>
            <w:r>
              <w:rPr>
                <w:rFonts w:cs="Arial Narrow" w:ascii="Arial" w:hAnsi="Arial"/>
                <w:color w:val="auto"/>
                <w:sz w:val="24"/>
                <w:szCs w:val="24"/>
              </w:rPr>
              <w:t>dla</w:t>
            </w:r>
            <w:r>
              <w:rPr>
                <w:rFonts w:cs="Arial Narrow" w:ascii="Arial" w:hAnsi="Arial"/>
                <w:color w:val="auto"/>
                <w:spacing w:val="-6"/>
                <w:sz w:val="24"/>
                <w:szCs w:val="24"/>
              </w:rPr>
              <w:t xml:space="preserve"> </w:t>
            </w:r>
            <w:r>
              <w:rPr>
                <w:rFonts w:cs="Arial Narrow" w:ascii="Arial" w:hAnsi="Arial"/>
                <w:color w:val="auto"/>
                <w:sz w:val="24"/>
                <w:szCs w:val="24"/>
              </w:rPr>
              <w:t>majątku</w:t>
            </w:r>
            <w:r>
              <w:rPr>
                <w:rFonts w:cs="Arial Narrow" w:ascii="Arial" w:hAnsi="Arial"/>
                <w:color w:val="auto"/>
                <w:spacing w:val="-7"/>
                <w:sz w:val="24"/>
                <w:szCs w:val="24"/>
              </w:rPr>
              <w:t xml:space="preserve"> </w:t>
            </w:r>
            <w:r>
              <w:rPr>
                <w:rFonts w:cs="Arial Narrow" w:ascii="Arial" w:hAnsi="Arial"/>
                <w:color w:val="auto"/>
                <w:sz w:val="24"/>
                <w:szCs w:val="24"/>
              </w:rPr>
              <w:t>amortyzowanego</w:t>
            </w:r>
          </w:p>
          <w:p>
            <w:pPr>
              <w:pStyle w:val="Standard"/>
              <w:spacing w:lineRule="atLeast" w:line="100" w:before="0" w:after="0"/>
              <w:jc w:val="both"/>
              <w:rPr>
                <w:rFonts w:ascii="Arial" w:hAnsi="Arial"/>
                <w:color w:val="auto"/>
                <w:sz w:val="24"/>
                <w:szCs w:val="24"/>
              </w:rPr>
            </w:pPr>
            <w:r>
              <w:rPr>
                <w:rFonts w:cs="Arial Narrow" w:ascii="Arial" w:hAnsi="Arial"/>
                <w:color w:val="auto"/>
                <w:sz w:val="24"/>
                <w:szCs w:val="24"/>
              </w:rPr>
              <w:t>–</w:t>
            </w:r>
            <w:r>
              <w:rPr>
                <w:rFonts w:eastAsia="Arial Narrow" w:cs="Arial Narrow" w:ascii="Arial" w:hAnsi="Arial"/>
                <w:color w:val="auto"/>
                <w:sz w:val="24"/>
                <w:szCs w:val="24"/>
              </w:rPr>
              <w:t xml:space="preserve"> </w:t>
            </w:r>
            <w:r>
              <w:rPr>
                <w:rFonts w:cs="Arial Narrow" w:ascii="Arial" w:hAnsi="Arial"/>
                <w:color w:val="auto"/>
                <w:sz w:val="24"/>
                <w:szCs w:val="24"/>
              </w:rPr>
              <w:t>podobne przedstawienie stanów i tytułów zmian dotychczasowej amortyzacji lub umorzenia</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tbl>
            <w:tblPr>
              <w:tblW w:w="14338" w:type="dxa"/>
              <w:jc w:val="left"/>
              <w:tblInd w:w="0" w:type="dxa"/>
              <w:tblCellMar>
                <w:top w:w="15" w:type="dxa"/>
                <w:left w:w="15" w:type="dxa"/>
                <w:bottom w:w="15" w:type="dxa"/>
                <w:right w:w="15" w:type="dxa"/>
              </w:tblCellMar>
              <w:tblLook w:firstRow="1" w:noVBand="1" w:lastRow="0" w:firstColumn="1" w:lastColumn="0" w:noHBand="0" w:val="04a0"/>
            </w:tblPr>
            <w:tblGrid>
              <w:gridCol w:w="230"/>
              <w:gridCol w:w="634"/>
              <w:gridCol w:w="1108"/>
              <w:gridCol w:w="464"/>
              <w:gridCol w:w="835"/>
              <w:gridCol w:w="442"/>
              <w:gridCol w:w="1"/>
              <w:gridCol w:w="835"/>
              <w:gridCol w:w="1"/>
              <w:gridCol w:w="377"/>
              <w:gridCol w:w="379"/>
              <w:gridCol w:w="379"/>
              <w:gridCol w:w="4"/>
              <w:gridCol w:w="555"/>
              <w:gridCol w:w="4"/>
              <w:gridCol w:w="1104"/>
              <w:gridCol w:w="4"/>
              <w:gridCol w:w="922"/>
              <w:gridCol w:w="5"/>
              <w:gridCol w:w="374"/>
              <w:gridCol w:w="836"/>
              <w:gridCol w:w="378"/>
              <w:gridCol w:w="7"/>
              <w:gridCol w:w="829"/>
              <w:gridCol w:w="7"/>
              <w:gridCol w:w="463"/>
              <w:gridCol w:w="8"/>
              <w:gridCol w:w="919"/>
              <w:gridCol w:w="7"/>
              <w:gridCol w:w="1101"/>
              <w:gridCol w:w="1122"/>
            </w:tblGrid>
            <w:tr>
              <w:trPr>
                <w:trHeight w:val="330" w:hRule="atLeast"/>
              </w:trPr>
              <w:tc>
                <w:tcPr>
                  <w:tcW w:w="14334" w:type="dxa"/>
                  <w:gridSpan w:val="31"/>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u w:val="single"/>
                      <w:lang w:eastAsia="pl-PL" w:bidi="ar-SA"/>
                    </w:rPr>
                    <w:t>Główne składniki aktywów trwałych – PP 8</w:t>
                  </w:r>
                </w:p>
              </w:tc>
            </w:tr>
            <w:tr>
              <w:trPr/>
              <w:tc>
                <w:tcPr>
                  <w:tcW w:w="230"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Lp.</w:t>
                  </w:r>
                </w:p>
              </w:tc>
              <w:tc>
                <w:tcPr>
                  <w:tcW w:w="634"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Nazwa grupy rodzajowej składnika aktywów trwałych</w:t>
                  </w:r>
                </w:p>
              </w:tc>
              <w:tc>
                <w:tcPr>
                  <w:tcW w:w="1108" w:type="dxa"/>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Wartość poczatkowa - stan na poczatek roku obrotowego</w:t>
                  </w:r>
                </w:p>
              </w:tc>
              <w:tc>
                <w:tcPr>
                  <w:tcW w:w="1742"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Zwiększenie wartości poczatkowej</w:t>
                  </w:r>
                </w:p>
              </w:tc>
              <w:tc>
                <w:tcPr>
                  <w:tcW w:w="836" w:type="dxa"/>
                  <w:gridSpan w:val="2"/>
                  <w:vMerge w:val="restart"/>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Ogółem zwiększenie wartości początkowej (4+5+6)</w:t>
                  </w:r>
                </w:p>
              </w:tc>
              <w:tc>
                <w:tcPr>
                  <w:tcW w:w="1139"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Zmniejszenie wartości początkowej</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Ogółem zmniejszenie wartości poczatkowej (8+9+10)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Wartość poczatkowa - stan na koniec roku obrotowego (3+7-11)</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Umorzenie - stan na początek roku obrotowego</w:t>
                  </w:r>
                </w:p>
              </w:tc>
              <w:tc>
                <w:tcPr>
                  <w:tcW w:w="1595" w:type="dxa"/>
                  <w:gridSpan w:val="4"/>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Zwiększenia w ciągu roku obrotowego</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Ogółem zwiększenie umorzenia (14+15+16)</w:t>
                  </w:r>
                </w:p>
              </w:tc>
              <w:tc>
                <w:tcPr>
                  <w:tcW w:w="471"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Zmniejszenie umorzenia</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Umorzenie - stan na koniec roku obrotowego (13+17-18)</w:t>
                  </w:r>
                </w:p>
              </w:tc>
              <w:tc>
                <w:tcPr>
                  <w:tcW w:w="2223"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Wartość netto składników aktywów</w:t>
                  </w:r>
                </w:p>
              </w:tc>
            </w:tr>
            <w:tr>
              <w:trPr/>
              <w:tc>
                <w:tcPr>
                  <w:tcW w:w="230"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634"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108" w:type="dxa"/>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464"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Aktualizacja</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Przychody</w:t>
                  </w:r>
                </w:p>
              </w:tc>
              <w:tc>
                <w:tcPr>
                  <w:tcW w:w="442"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Przemieszczenie</w:t>
                  </w:r>
                </w:p>
              </w:tc>
              <w:tc>
                <w:tcPr>
                  <w:tcW w:w="836" w:type="dxa"/>
                  <w:gridSpan w:val="2"/>
                  <w:vMerge w:val="continue"/>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78" w:type="dxa"/>
                  <w:gridSpan w:val="2"/>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Zbycie</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Likwidacja</w:t>
                  </w:r>
                </w:p>
              </w:tc>
              <w:tc>
                <w:tcPr>
                  <w:tcW w:w="379"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Inne</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79" w:type="dxa"/>
                  <w:gridSpan w:val="2"/>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Aktualizacja</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Amortyzacja za rok obrotowy</w:t>
                  </w:r>
                </w:p>
              </w:tc>
              <w:tc>
                <w:tcPr>
                  <w:tcW w:w="378" w:type="dxa"/>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Inne</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Stan na poczatek roku obrotowego (3-13)</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Stan na koniec roku obrotowego (12-19)</w:t>
                  </w:r>
                </w:p>
              </w:tc>
            </w:tr>
            <w:tr>
              <w:trPr>
                <w:trHeight w:val="19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w:t>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2</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3</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4</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5</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6</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7</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8</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9</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11</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12</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13</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14</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15</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16</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17</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18</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19</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20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i/>
                      <w:iCs/>
                      <w:color w:val="auto"/>
                      <w:kern w:val="0"/>
                      <w:sz w:val="24"/>
                      <w:szCs w:val="24"/>
                      <w:lang w:eastAsia="pl-PL" w:bidi="ar-SA"/>
                    </w:rPr>
                    <w:t>21</w:t>
                  </w:r>
                </w:p>
              </w:tc>
            </w:tr>
            <w:tr>
              <w:trPr>
                <w:trHeight w:val="61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w:t>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Wartości niematerialne i prawne</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3 304,00</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3 304,00</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3 304,00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3 304,00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r>
            <w:tr>
              <w:trPr>
                <w:trHeight w:val="540"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center"/>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2.</w:t>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Środki trwałe</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1 626 558,71</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14 900,00</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14 900,00</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1 641 458,71</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490 782,51</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36 251,10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36 251,10</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527 033,61</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1 135 776,20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1 114 425,10</w:t>
                  </w:r>
                </w:p>
              </w:tc>
            </w:tr>
            <w:tr>
              <w:trPr>
                <w:trHeight w:val="40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w:t>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grunty</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245 900,00</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245 900,00</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245 900,00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245 900,00</w:t>
                  </w:r>
                </w:p>
              </w:tc>
            </w:tr>
            <w:tr>
              <w:trPr>
                <w:trHeight w:val="600"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w:t>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budynki, lokale i obiekty inżynierii lądowej i wodnej</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1 348 185,32</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1 348 185,32</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458 309,12</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34 860,43</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34 860,43</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493 169,55</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889 876,20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855 015,77</w:t>
                  </w:r>
                </w:p>
              </w:tc>
            </w:tr>
            <w:tr>
              <w:trPr>
                <w:trHeight w:val="61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w:t>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urządzenia techniczne i maszyny</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8 805,90</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8 805,90</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8 805,90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8 805,90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4)</w:t>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środki transportu</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5)</w:t>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inne środki trwałe</w:t>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23 667,49</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14 900,00</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14 900,00</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38 567,49</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23 667,49</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1 390,67</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1 390,67</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25 058,16</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0,00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color w:val="auto"/>
                      <w:kern w:val="0"/>
                      <w:sz w:val="24"/>
                      <w:szCs w:val="24"/>
                      <w:lang w:eastAsia="pl-PL" w:bidi="ar-SA"/>
                    </w:rPr>
                    <w:t>13 509,33</w:t>
                  </w:r>
                </w:p>
              </w:tc>
            </w:tr>
            <w:tr>
              <w:trPr>
                <w:trHeight w:val="255" w:hRule="atLeast"/>
              </w:trPr>
              <w:tc>
                <w:tcPr>
                  <w:tcW w:w="230"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63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textAlignment w:val="auto"/>
                    <w:rPr>
                      <w:rFonts w:ascii="Arial" w:hAnsi="Arial" w:eastAsia="Times New Roman" w:cs="Times New Roman"/>
                      <w:color w:val="auto"/>
                      <w:kern w:val="0"/>
                      <w:sz w:val="24"/>
                      <w:szCs w:val="24"/>
                      <w:lang w:eastAsia="pl-PL" w:bidi="ar-SA"/>
                    </w:rPr>
                  </w:pPr>
                  <w:r>
                    <w:rPr>
                      <w:rFonts w:eastAsia="Times New Roman" w:cs="Times New Roman" w:ascii="Arial" w:hAnsi="Arial"/>
                      <w:color w:val="auto"/>
                      <w:kern w:val="0"/>
                      <w:sz w:val="24"/>
                      <w:szCs w:val="24"/>
                      <w:lang w:eastAsia="pl-PL" w:bidi="ar-SA"/>
                    </w:rPr>
                  </w:r>
                </w:p>
              </w:tc>
              <w:tc>
                <w:tcPr>
                  <w:tcW w:w="110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1 629 862,71</w:t>
                  </w:r>
                </w:p>
              </w:tc>
              <w:tc>
                <w:tcPr>
                  <w:tcW w:w="464"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5"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14 900,00</w:t>
                  </w:r>
                </w:p>
              </w:tc>
              <w:tc>
                <w:tcPr>
                  <w:tcW w:w="44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14 900,00</w:t>
                  </w:r>
                </w:p>
              </w:tc>
              <w:tc>
                <w:tcPr>
                  <w:tcW w:w="37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3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55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1 644 762,71</w:t>
                  </w:r>
                </w:p>
              </w:tc>
              <w:tc>
                <w:tcPr>
                  <w:tcW w:w="92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494 086,51</w:t>
                  </w:r>
                </w:p>
              </w:tc>
              <w:tc>
                <w:tcPr>
                  <w:tcW w:w="379"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36 251,10</w:t>
                  </w:r>
                </w:p>
              </w:tc>
              <w:tc>
                <w:tcPr>
                  <w:tcW w:w="378"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836"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36 251,10</w:t>
                  </w:r>
                </w:p>
              </w:tc>
              <w:tc>
                <w:tcPr>
                  <w:tcW w:w="470"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0,00</w:t>
                  </w:r>
                </w:p>
              </w:tc>
              <w:tc>
                <w:tcPr>
                  <w:tcW w:w="927"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530 337,61</w:t>
                  </w:r>
                </w:p>
              </w:tc>
              <w:tc>
                <w:tcPr>
                  <w:tcW w:w="1108" w:type="dxa"/>
                  <w:gridSpan w:val="2"/>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1 135 776,20</w:t>
                  </w:r>
                </w:p>
              </w:tc>
              <w:tc>
                <w:tcPr>
                  <w:tcW w:w="1122"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widowControl/>
                    <w:suppressAutoHyphens w:val="false"/>
                    <w:jc w:val="right"/>
                    <w:textAlignment w:val="auto"/>
                    <w:rPr>
                      <w:rFonts w:ascii="Liberation Sans1" w:hAnsi="Liberation Sans1" w:eastAsia="Times New Roman" w:cs="Times New Roman"/>
                      <w:kern w:val="0"/>
                      <w:sz w:val="20"/>
                      <w:szCs w:val="20"/>
                      <w:lang w:eastAsia="pl-PL" w:bidi="ar-SA"/>
                    </w:rPr>
                  </w:pPr>
                  <w:r>
                    <w:rPr>
                      <w:rFonts w:eastAsia="Times New Roman" w:cs="Times New Roman" w:ascii="Arial" w:hAnsi="Arial"/>
                      <w:b/>
                      <w:bCs/>
                      <w:color w:val="auto"/>
                      <w:kern w:val="0"/>
                      <w:sz w:val="24"/>
                      <w:szCs w:val="24"/>
                      <w:lang w:eastAsia="pl-PL" w:bidi="ar-SA"/>
                    </w:rPr>
                    <w:t>1 114 425,10</w:t>
                  </w:r>
                </w:p>
              </w:tc>
            </w:tr>
          </w:tbl>
          <w:p>
            <w:pPr>
              <w:pStyle w:val="Standard"/>
              <w:snapToGrid w:val="false"/>
              <w:spacing w:before="0" w:after="160"/>
              <w:rPr>
                <w:rFonts w:ascii="Arial" w:hAnsi="Arial"/>
                <w:color w:val="auto"/>
                <w:sz w:val="24"/>
                <w:szCs w:val="24"/>
              </w:rPr>
            </w:pPr>
            <w:r>
              <w:rPr>
                <w:rFonts w:ascii="Arial" w:hAnsi="Arial"/>
                <w:color w:val="auto"/>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rFonts w:ascii="Arial" w:hAnsi="Arial"/>
                <w:color w:val="auto"/>
                <w:sz w:val="24"/>
                <w:szCs w:val="24"/>
              </w:rPr>
            </w:pPr>
            <w:r>
              <w:rPr>
                <w:rFonts w:ascii="Arial" w:hAnsi="Arial"/>
                <w:color w:val="auto"/>
                <w:sz w:val="24"/>
                <w:szCs w:val="24"/>
              </w:rPr>
              <w:t>aktualną</w:t>
            </w:r>
            <w:r>
              <w:rPr>
                <w:rFonts w:ascii="Arial" w:hAnsi="Arial"/>
                <w:color w:val="auto"/>
                <w:spacing w:val="-13"/>
                <w:sz w:val="24"/>
                <w:szCs w:val="24"/>
              </w:rPr>
              <w:t xml:space="preserve"> </w:t>
            </w:r>
            <w:r>
              <w:rPr>
                <w:rFonts w:ascii="Arial" w:hAnsi="Arial"/>
                <w:color w:val="auto"/>
                <w:sz w:val="24"/>
                <w:szCs w:val="24"/>
              </w:rPr>
              <w:t>wartość</w:t>
            </w:r>
            <w:r>
              <w:rPr>
                <w:rFonts w:ascii="Arial" w:hAnsi="Arial"/>
                <w:color w:val="auto"/>
                <w:spacing w:val="-13"/>
                <w:sz w:val="24"/>
                <w:szCs w:val="24"/>
              </w:rPr>
              <w:t xml:space="preserve"> </w:t>
            </w:r>
            <w:r>
              <w:rPr>
                <w:rFonts w:ascii="Arial" w:hAnsi="Arial"/>
                <w:color w:val="auto"/>
                <w:sz w:val="24"/>
                <w:szCs w:val="24"/>
              </w:rPr>
              <w:t>rynkową</w:t>
            </w:r>
            <w:r>
              <w:rPr>
                <w:rFonts w:ascii="Arial" w:hAnsi="Arial"/>
                <w:color w:val="auto"/>
                <w:spacing w:val="-13"/>
                <w:sz w:val="24"/>
                <w:szCs w:val="24"/>
              </w:rPr>
              <w:t xml:space="preserve"> </w:t>
            </w:r>
            <w:r>
              <w:rPr>
                <w:rFonts w:ascii="Arial" w:hAnsi="Arial"/>
                <w:color w:val="auto"/>
                <w:sz w:val="24"/>
                <w:szCs w:val="24"/>
              </w:rPr>
              <w:t>środków</w:t>
            </w:r>
            <w:r>
              <w:rPr>
                <w:rFonts w:ascii="Arial" w:hAnsi="Arial"/>
                <w:color w:val="auto"/>
                <w:spacing w:val="-13"/>
                <w:sz w:val="24"/>
                <w:szCs w:val="24"/>
              </w:rPr>
              <w:t xml:space="preserve"> </w:t>
            </w:r>
            <w:r>
              <w:rPr>
                <w:rFonts w:ascii="Arial" w:hAnsi="Arial"/>
                <w:color w:val="auto"/>
                <w:sz w:val="24"/>
                <w:szCs w:val="24"/>
              </w:rPr>
              <w:t>trwałych,</w:t>
            </w:r>
            <w:r>
              <w:rPr>
                <w:rFonts w:ascii="Arial" w:hAnsi="Arial"/>
                <w:color w:val="auto"/>
                <w:spacing w:val="-13"/>
                <w:sz w:val="24"/>
                <w:szCs w:val="24"/>
              </w:rPr>
              <w:t xml:space="preserve"> </w:t>
            </w:r>
            <w:r>
              <w:rPr>
                <w:rFonts w:ascii="Arial" w:hAnsi="Arial"/>
                <w:color w:val="auto"/>
                <w:sz w:val="24"/>
                <w:szCs w:val="24"/>
              </w:rPr>
              <w:t>w</w:t>
            </w:r>
            <w:r>
              <w:rPr>
                <w:rFonts w:ascii="Arial" w:hAnsi="Arial"/>
                <w:color w:val="auto"/>
                <w:spacing w:val="-13"/>
                <w:sz w:val="24"/>
                <w:szCs w:val="24"/>
              </w:rPr>
              <w:t xml:space="preserve"> </w:t>
            </w:r>
            <w:r>
              <w:rPr>
                <w:rFonts w:ascii="Arial" w:hAnsi="Arial"/>
                <w:color w:val="auto"/>
                <w:sz w:val="24"/>
                <w:szCs w:val="24"/>
              </w:rPr>
              <w:t>tym</w:t>
            </w:r>
            <w:r>
              <w:rPr>
                <w:rFonts w:ascii="Arial" w:hAnsi="Arial"/>
                <w:color w:val="auto"/>
                <w:spacing w:val="-13"/>
                <w:sz w:val="24"/>
                <w:szCs w:val="24"/>
              </w:rPr>
              <w:t xml:space="preserve"> </w:t>
            </w:r>
            <w:r>
              <w:rPr>
                <w:rFonts w:ascii="Arial" w:hAnsi="Arial"/>
                <w:color w:val="auto"/>
                <w:sz w:val="24"/>
                <w:szCs w:val="24"/>
              </w:rPr>
              <w:t>dóbr</w:t>
            </w:r>
            <w:r>
              <w:rPr>
                <w:rFonts w:ascii="Arial" w:hAnsi="Arial"/>
                <w:color w:val="auto"/>
                <w:spacing w:val="-13"/>
                <w:sz w:val="24"/>
                <w:szCs w:val="24"/>
              </w:rPr>
              <w:t xml:space="preserve"> </w:t>
            </w:r>
            <w:r>
              <w:rPr>
                <w:rFonts w:ascii="Arial" w:hAnsi="Arial"/>
                <w:color w:val="auto"/>
                <w:sz w:val="24"/>
                <w:szCs w:val="24"/>
              </w:rPr>
              <w:t>kultury</w:t>
            </w:r>
            <w:r>
              <w:rPr>
                <w:rFonts w:ascii="Arial" w:hAnsi="Arial"/>
                <w:color w:val="auto"/>
                <w:spacing w:val="-13"/>
                <w:sz w:val="24"/>
                <w:szCs w:val="24"/>
              </w:rPr>
              <w:t xml:space="preserve"> </w:t>
            </w:r>
            <w:r>
              <w:rPr>
                <w:rFonts w:ascii="Arial" w:hAnsi="Arial"/>
                <w:color w:val="auto"/>
                <w:sz w:val="24"/>
                <w:szCs w:val="24"/>
              </w:rPr>
              <w:t>–</w:t>
            </w:r>
            <w:r>
              <w:rPr>
                <w:rFonts w:ascii="Arial" w:hAnsi="Arial"/>
                <w:color w:val="auto"/>
                <w:spacing w:val="-13"/>
                <w:sz w:val="24"/>
                <w:szCs w:val="24"/>
              </w:rPr>
              <w:t xml:space="preserve"> </w:t>
            </w:r>
            <w:r>
              <w:rPr>
                <w:rFonts w:ascii="Arial" w:hAnsi="Arial"/>
                <w:color w:val="auto"/>
                <w:sz w:val="24"/>
                <w:szCs w:val="24"/>
              </w:rPr>
              <w:t>o</w:t>
            </w:r>
            <w:r>
              <w:rPr>
                <w:rFonts w:ascii="Arial" w:hAnsi="Arial"/>
                <w:color w:val="auto"/>
                <w:spacing w:val="-13"/>
                <w:sz w:val="24"/>
                <w:szCs w:val="24"/>
              </w:rPr>
              <w:t xml:space="preserve"> </w:t>
            </w:r>
            <w:r>
              <w:rPr>
                <w:rFonts w:ascii="Arial" w:hAnsi="Arial"/>
                <w:color w:val="auto"/>
                <w:sz w:val="24"/>
                <w:szCs w:val="24"/>
              </w:rPr>
              <w:t>ile</w:t>
            </w:r>
            <w:r>
              <w:rPr>
                <w:rFonts w:ascii="Arial" w:hAnsi="Arial"/>
                <w:color w:val="auto"/>
                <w:spacing w:val="-13"/>
                <w:sz w:val="24"/>
                <w:szCs w:val="24"/>
              </w:rPr>
              <w:t xml:space="preserve"> </w:t>
            </w:r>
            <w:r>
              <w:rPr>
                <w:rFonts w:ascii="Arial" w:hAnsi="Arial"/>
                <w:color w:val="auto"/>
                <w:sz w:val="24"/>
                <w:szCs w:val="24"/>
              </w:rPr>
              <w:t>jednostka</w:t>
            </w:r>
            <w:r>
              <w:rPr>
                <w:rFonts w:ascii="Arial" w:hAnsi="Arial"/>
                <w:color w:val="auto"/>
                <w:spacing w:val="-13"/>
                <w:sz w:val="24"/>
                <w:szCs w:val="24"/>
              </w:rPr>
              <w:t xml:space="preserve"> </w:t>
            </w:r>
            <w:r>
              <w:rPr>
                <w:rFonts w:ascii="Arial" w:hAnsi="Arial"/>
                <w:color w:val="auto"/>
                <w:sz w:val="24"/>
                <w:szCs w:val="24"/>
              </w:rPr>
              <w:t>dysponuje</w:t>
            </w:r>
            <w:r>
              <w:rPr>
                <w:rFonts w:ascii="Arial" w:hAnsi="Arial"/>
                <w:color w:val="auto"/>
                <w:spacing w:val="-13"/>
                <w:sz w:val="24"/>
                <w:szCs w:val="24"/>
              </w:rPr>
              <w:t xml:space="preserve"> </w:t>
            </w:r>
            <w:r>
              <w:rPr>
                <w:rFonts w:ascii="Arial" w:hAnsi="Arial"/>
                <w:color w:val="auto"/>
                <w:sz w:val="24"/>
                <w:szCs w:val="24"/>
              </w:rPr>
              <w:t>takimi</w:t>
            </w:r>
            <w:r>
              <w:rPr>
                <w:rFonts w:ascii="Arial" w:hAnsi="Arial"/>
                <w:color w:val="auto"/>
                <w:spacing w:val="-13"/>
                <w:sz w:val="24"/>
                <w:szCs w:val="24"/>
              </w:rPr>
              <w:t xml:space="preserve"> </w:t>
            </w:r>
            <w:r>
              <w:rPr>
                <w:rFonts w:ascii="Arial" w:hAnsi="Arial"/>
                <w:color w:val="auto"/>
                <w:sz w:val="24"/>
                <w:szCs w:val="24"/>
              </w:rPr>
              <w:t>informacjami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4"/>
                <w:sz w:val="24"/>
                <w:szCs w:val="24"/>
              </w:rPr>
              <w:t xml:space="preserve"> </w:t>
            </w:r>
            <w:r>
              <w:rPr>
                <w:rFonts w:ascii="Arial" w:hAnsi="Arial"/>
                <w:color w:val="auto"/>
                <w:sz w:val="24"/>
                <w:szCs w:val="24"/>
              </w:rPr>
              <w:t>dokonanych</w:t>
            </w:r>
            <w:r>
              <w:rPr>
                <w:rFonts w:ascii="Arial" w:hAnsi="Arial"/>
                <w:color w:val="auto"/>
                <w:spacing w:val="-4"/>
                <w:sz w:val="24"/>
                <w:szCs w:val="24"/>
              </w:rPr>
              <w:t xml:space="preserve"> </w:t>
            </w:r>
            <w:r>
              <w:rPr>
                <w:rFonts w:ascii="Arial" w:hAnsi="Arial"/>
                <w:color w:val="auto"/>
                <w:sz w:val="24"/>
                <w:szCs w:val="24"/>
              </w:rPr>
              <w:t>w</w:t>
            </w:r>
            <w:r>
              <w:rPr>
                <w:rFonts w:ascii="Arial" w:hAnsi="Arial"/>
                <w:color w:val="auto"/>
                <w:spacing w:val="-4"/>
                <w:sz w:val="24"/>
                <w:szCs w:val="24"/>
              </w:rPr>
              <w:t xml:space="preserve"> </w:t>
            </w:r>
            <w:r>
              <w:rPr>
                <w:rFonts w:ascii="Arial" w:hAnsi="Arial"/>
                <w:color w:val="auto"/>
                <w:sz w:val="24"/>
                <w:szCs w:val="24"/>
              </w:rPr>
              <w:t>trakcie</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odpisów</w:t>
            </w:r>
            <w:r>
              <w:rPr>
                <w:rFonts w:ascii="Arial" w:hAnsi="Arial"/>
                <w:color w:val="auto"/>
                <w:spacing w:val="-4"/>
                <w:sz w:val="24"/>
                <w:szCs w:val="24"/>
              </w:rPr>
              <w:t xml:space="preserve"> </w:t>
            </w:r>
            <w:r>
              <w:rPr>
                <w:rFonts w:ascii="Arial" w:hAnsi="Arial"/>
                <w:color w:val="auto"/>
                <w:sz w:val="24"/>
                <w:szCs w:val="24"/>
              </w:rPr>
              <w:t>aktualizujących</w:t>
            </w:r>
            <w:r>
              <w:rPr>
                <w:rFonts w:ascii="Arial" w:hAnsi="Arial"/>
                <w:color w:val="auto"/>
                <w:spacing w:val="-4"/>
                <w:sz w:val="24"/>
                <w:szCs w:val="24"/>
              </w:rPr>
              <w:t xml:space="preserve"> </w:t>
            </w:r>
            <w:r>
              <w:rPr>
                <w:rFonts w:ascii="Arial" w:hAnsi="Arial"/>
                <w:color w:val="auto"/>
                <w:sz w:val="24"/>
                <w:szCs w:val="24"/>
              </w:rPr>
              <w:t>wartość</w:t>
            </w:r>
            <w:r>
              <w:rPr>
                <w:rFonts w:ascii="Arial" w:hAnsi="Arial"/>
                <w:color w:val="auto"/>
                <w:spacing w:val="-4"/>
                <w:sz w:val="24"/>
                <w:szCs w:val="24"/>
              </w:rPr>
              <w:t xml:space="preserve"> </w:t>
            </w:r>
            <w:r>
              <w:rPr>
                <w:rFonts w:ascii="Arial" w:hAnsi="Arial"/>
                <w:color w:val="auto"/>
                <w:sz w:val="24"/>
                <w:szCs w:val="24"/>
              </w:rPr>
              <w:t>aktywów</w:t>
            </w:r>
            <w:r>
              <w:rPr>
                <w:rFonts w:ascii="Arial" w:hAnsi="Arial"/>
                <w:color w:val="auto"/>
                <w:spacing w:val="-4"/>
                <w:sz w:val="24"/>
                <w:szCs w:val="24"/>
              </w:rPr>
              <w:t xml:space="preserve"> </w:t>
            </w:r>
            <w:r>
              <w:rPr>
                <w:rFonts w:ascii="Arial" w:hAnsi="Arial"/>
                <w:color w:val="auto"/>
                <w:sz w:val="24"/>
                <w:szCs w:val="24"/>
              </w:rPr>
              <w:t>trwałych</w:t>
            </w:r>
            <w:r>
              <w:rPr>
                <w:rFonts w:ascii="Arial" w:hAnsi="Arial"/>
                <w:color w:val="auto"/>
                <w:spacing w:val="-4"/>
                <w:sz w:val="24"/>
                <w:szCs w:val="24"/>
              </w:rPr>
              <w:t xml:space="preserve"> </w:t>
            </w:r>
            <w:r>
              <w:rPr>
                <w:rFonts w:ascii="Arial" w:hAnsi="Arial"/>
                <w:color w:val="auto"/>
                <w:sz w:val="24"/>
                <w:szCs w:val="24"/>
              </w:rPr>
              <w:t>odrębnie</w:t>
            </w:r>
            <w:r>
              <w:rPr>
                <w:rFonts w:ascii="Arial" w:hAnsi="Arial"/>
                <w:color w:val="auto"/>
                <w:spacing w:val="-4"/>
                <w:sz w:val="24"/>
                <w:szCs w:val="24"/>
              </w:rPr>
              <w:t xml:space="preserve"> </w:t>
            </w:r>
            <w:r>
              <w:rPr>
                <w:rFonts w:ascii="Arial" w:hAnsi="Arial"/>
                <w:color w:val="auto"/>
                <w:sz w:val="24"/>
                <w:szCs w:val="24"/>
              </w:rPr>
              <w:t>dla długoterminowych aktywów niefinansowych oraz długoterminowych aktywów finansowych</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color w:val="2E2014"/>
                <w:sz w:val="20"/>
                <w:szCs w:val="20"/>
              </w:rPr>
            </w:pPr>
            <w:r>
              <w:rPr>
                <w:rFonts w:ascii="Arial" w:hAnsi="Arial"/>
                <w:color w:val="auto"/>
                <w:sz w:val="24"/>
                <w:szCs w:val="24"/>
              </w:rPr>
              <w:t>wartość gruntów użytkowanych wieczyście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1.5</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jc w:val="both"/>
              <w:rPr>
                <w:rFonts w:ascii="Arial" w:hAnsi="Arial"/>
                <w:color w:val="auto"/>
                <w:sz w:val="24"/>
                <w:szCs w:val="24"/>
              </w:rPr>
            </w:pPr>
            <w:r>
              <w:rPr>
                <w:rFonts w:ascii="Arial" w:hAnsi="Arial"/>
                <w:color w:val="auto"/>
                <w:sz w:val="24"/>
                <w:szCs w:val="24"/>
              </w:rPr>
              <w:t>wartość</w:t>
            </w:r>
            <w:r>
              <w:rPr>
                <w:rFonts w:ascii="Arial" w:hAnsi="Arial"/>
                <w:color w:val="auto"/>
                <w:spacing w:val="20"/>
                <w:sz w:val="24"/>
                <w:szCs w:val="24"/>
              </w:rPr>
              <w:t xml:space="preserve"> </w:t>
            </w:r>
            <w:r>
              <w:rPr>
                <w:rFonts w:ascii="Arial" w:hAnsi="Arial"/>
                <w:color w:val="auto"/>
                <w:sz w:val="24"/>
                <w:szCs w:val="24"/>
              </w:rPr>
              <w:t>nieamortyzowanych</w:t>
            </w:r>
            <w:r>
              <w:rPr>
                <w:rFonts w:ascii="Arial" w:hAnsi="Arial"/>
                <w:color w:val="auto"/>
                <w:spacing w:val="20"/>
                <w:sz w:val="24"/>
                <w:szCs w:val="24"/>
              </w:rPr>
              <w:t xml:space="preserve"> </w:t>
            </w:r>
            <w:r>
              <w:rPr>
                <w:rFonts w:ascii="Arial" w:hAnsi="Arial"/>
                <w:color w:val="auto"/>
                <w:sz w:val="24"/>
                <w:szCs w:val="24"/>
              </w:rPr>
              <w:t>lub</w:t>
            </w:r>
            <w:r>
              <w:rPr>
                <w:rFonts w:ascii="Arial" w:hAnsi="Arial"/>
                <w:color w:val="auto"/>
                <w:spacing w:val="20"/>
                <w:sz w:val="24"/>
                <w:szCs w:val="24"/>
              </w:rPr>
              <w:t xml:space="preserve"> </w:t>
            </w:r>
            <w:r>
              <w:rPr>
                <w:rFonts w:ascii="Arial" w:hAnsi="Arial"/>
                <w:color w:val="auto"/>
                <w:sz w:val="24"/>
                <w:szCs w:val="24"/>
              </w:rPr>
              <w:t>nieumarzanych</w:t>
            </w:r>
            <w:r>
              <w:rPr>
                <w:rFonts w:ascii="Arial" w:hAnsi="Arial"/>
                <w:color w:val="auto"/>
                <w:spacing w:val="19"/>
                <w:sz w:val="24"/>
                <w:szCs w:val="24"/>
              </w:rPr>
              <w:t xml:space="preserve"> </w:t>
            </w:r>
            <w:r>
              <w:rPr>
                <w:rFonts w:ascii="Arial" w:hAnsi="Arial"/>
                <w:color w:val="auto"/>
                <w:sz w:val="24"/>
                <w:szCs w:val="24"/>
              </w:rPr>
              <w:t>przez</w:t>
            </w:r>
            <w:r>
              <w:rPr>
                <w:rFonts w:ascii="Arial" w:hAnsi="Arial"/>
                <w:color w:val="auto"/>
                <w:spacing w:val="19"/>
                <w:sz w:val="24"/>
                <w:szCs w:val="24"/>
              </w:rPr>
              <w:t xml:space="preserve"> </w:t>
            </w:r>
            <w:r>
              <w:rPr>
                <w:rFonts w:ascii="Arial" w:hAnsi="Arial"/>
                <w:color w:val="auto"/>
                <w:sz w:val="24"/>
                <w:szCs w:val="24"/>
              </w:rPr>
              <w:t>jednostkę</w:t>
            </w:r>
            <w:r>
              <w:rPr>
                <w:rFonts w:ascii="Arial" w:hAnsi="Arial"/>
                <w:color w:val="auto"/>
                <w:spacing w:val="19"/>
                <w:sz w:val="24"/>
                <w:szCs w:val="24"/>
              </w:rPr>
              <w:t xml:space="preserve"> </w:t>
            </w:r>
            <w:r>
              <w:rPr>
                <w:rFonts w:ascii="Arial" w:hAnsi="Arial"/>
                <w:color w:val="auto"/>
                <w:sz w:val="24"/>
                <w:szCs w:val="24"/>
              </w:rPr>
              <w:t>środków</w:t>
            </w:r>
            <w:r>
              <w:rPr>
                <w:rFonts w:ascii="Arial" w:hAnsi="Arial"/>
                <w:color w:val="auto"/>
                <w:spacing w:val="20"/>
                <w:sz w:val="24"/>
                <w:szCs w:val="24"/>
              </w:rPr>
              <w:t xml:space="preserve"> </w:t>
            </w:r>
            <w:r>
              <w:rPr>
                <w:rFonts w:ascii="Arial" w:hAnsi="Arial"/>
                <w:color w:val="auto"/>
                <w:sz w:val="24"/>
                <w:szCs w:val="24"/>
              </w:rPr>
              <w:t>trwałych,</w:t>
            </w:r>
            <w:r>
              <w:rPr>
                <w:rFonts w:ascii="Arial" w:hAnsi="Arial"/>
                <w:color w:val="auto"/>
                <w:spacing w:val="19"/>
                <w:sz w:val="24"/>
                <w:szCs w:val="24"/>
              </w:rPr>
              <w:t xml:space="preserve"> </w:t>
            </w:r>
            <w:r>
              <w:rPr>
                <w:rFonts w:ascii="Arial" w:hAnsi="Arial"/>
                <w:color w:val="auto"/>
                <w:sz w:val="24"/>
                <w:szCs w:val="24"/>
              </w:rPr>
              <w:t>używanych</w:t>
            </w:r>
            <w:r>
              <w:rPr>
                <w:rFonts w:ascii="Arial" w:hAnsi="Arial"/>
                <w:color w:val="auto"/>
                <w:spacing w:val="20"/>
                <w:sz w:val="24"/>
                <w:szCs w:val="24"/>
              </w:rPr>
              <w:t xml:space="preserve"> </w:t>
            </w:r>
            <w:r>
              <w:rPr>
                <w:rFonts w:ascii="Arial" w:hAnsi="Arial"/>
                <w:color w:val="auto"/>
                <w:sz w:val="24"/>
                <w:szCs w:val="24"/>
              </w:rPr>
              <w:t>na</w:t>
            </w:r>
            <w:r>
              <w:rPr>
                <w:rFonts w:ascii="Arial" w:hAnsi="Arial"/>
                <w:color w:val="auto"/>
                <w:spacing w:val="20"/>
                <w:sz w:val="24"/>
                <w:szCs w:val="24"/>
              </w:rPr>
              <w:t xml:space="preserve"> </w:t>
            </w:r>
            <w:r>
              <w:rPr>
                <w:rFonts w:ascii="Arial" w:hAnsi="Arial"/>
                <w:color w:val="auto"/>
                <w:sz w:val="24"/>
                <w:szCs w:val="24"/>
              </w:rPr>
              <w:t>podstawie umów najmu, dzierżawy i innych umów, w tym z tytułu umów leasingu</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1.6</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liczbę</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wartość</w:t>
            </w:r>
            <w:r>
              <w:rPr>
                <w:rFonts w:ascii="Arial" w:hAnsi="Arial"/>
                <w:color w:val="auto"/>
                <w:spacing w:val="32"/>
                <w:sz w:val="24"/>
                <w:szCs w:val="24"/>
              </w:rPr>
              <w:t xml:space="preserve"> </w:t>
            </w:r>
            <w:r>
              <w:rPr>
                <w:rFonts w:ascii="Arial" w:hAnsi="Arial"/>
                <w:color w:val="auto"/>
                <w:sz w:val="24"/>
                <w:szCs w:val="24"/>
              </w:rPr>
              <w:t>posiadanych</w:t>
            </w:r>
            <w:r>
              <w:rPr>
                <w:rFonts w:ascii="Arial" w:hAnsi="Arial"/>
                <w:color w:val="auto"/>
                <w:spacing w:val="32"/>
                <w:sz w:val="24"/>
                <w:szCs w:val="24"/>
              </w:rPr>
              <w:t xml:space="preserve"> </w:t>
            </w:r>
            <w:r>
              <w:rPr>
                <w:rFonts w:ascii="Arial" w:hAnsi="Arial"/>
                <w:color w:val="auto"/>
                <w:sz w:val="24"/>
                <w:szCs w:val="24"/>
              </w:rPr>
              <w:t>papierów</w:t>
            </w:r>
            <w:r>
              <w:rPr>
                <w:rFonts w:ascii="Arial" w:hAnsi="Arial"/>
                <w:color w:val="auto"/>
                <w:spacing w:val="32"/>
                <w:sz w:val="24"/>
                <w:szCs w:val="24"/>
              </w:rPr>
              <w:t xml:space="preserve"> </w:t>
            </w:r>
            <w:r>
              <w:rPr>
                <w:rFonts w:ascii="Arial" w:hAnsi="Arial"/>
                <w:color w:val="auto"/>
                <w:sz w:val="24"/>
                <w:szCs w:val="24"/>
              </w:rPr>
              <w:t>wartościowych,</w:t>
            </w:r>
            <w:r>
              <w:rPr>
                <w:rFonts w:ascii="Arial" w:hAnsi="Arial"/>
                <w:color w:val="auto"/>
                <w:spacing w:val="32"/>
                <w:sz w:val="24"/>
                <w:szCs w:val="24"/>
              </w:rPr>
              <w:t xml:space="preserve"> </w:t>
            </w:r>
            <w:r>
              <w:rPr>
                <w:rFonts w:ascii="Arial" w:hAnsi="Arial"/>
                <w:color w:val="auto"/>
                <w:sz w:val="24"/>
                <w:szCs w:val="24"/>
              </w:rPr>
              <w:t>w</w:t>
            </w:r>
            <w:r>
              <w:rPr>
                <w:rFonts w:ascii="Arial" w:hAnsi="Arial"/>
                <w:color w:val="auto"/>
                <w:spacing w:val="32"/>
                <w:sz w:val="24"/>
                <w:szCs w:val="24"/>
              </w:rPr>
              <w:t xml:space="preserve"> </w:t>
            </w:r>
            <w:r>
              <w:rPr>
                <w:rFonts w:ascii="Arial" w:hAnsi="Arial"/>
                <w:color w:val="auto"/>
                <w:sz w:val="24"/>
                <w:szCs w:val="24"/>
              </w:rPr>
              <w:t>tym</w:t>
            </w:r>
            <w:r>
              <w:rPr>
                <w:rFonts w:ascii="Arial" w:hAnsi="Arial"/>
                <w:color w:val="auto"/>
                <w:spacing w:val="32"/>
                <w:sz w:val="24"/>
                <w:szCs w:val="24"/>
              </w:rPr>
              <w:t xml:space="preserve"> </w:t>
            </w:r>
            <w:r>
              <w:rPr>
                <w:rFonts w:ascii="Arial" w:hAnsi="Arial"/>
                <w:color w:val="auto"/>
                <w:sz w:val="24"/>
                <w:szCs w:val="24"/>
              </w:rPr>
              <w:t>akcji</w:t>
            </w:r>
            <w:r>
              <w:rPr>
                <w:rFonts w:ascii="Arial" w:hAnsi="Arial"/>
                <w:color w:val="auto"/>
                <w:spacing w:val="32"/>
                <w:sz w:val="24"/>
                <w:szCs w:val="24"/>
              </w:rPr>
              <w:t xml:space="preserve"> </w:t>
            </w:r>
            <w:r>
              <w:rPr>
                <w:rFonts w:ascii="Arial" w:hAnsi="Arial"/>
                <w:color w:val="auto"/>
                <w:sz w:val="24"/>
                <w:szCs w:val="24"/>
              </w:rPr>
              <w:t>i</w:t>
            </w:r>
            <w:r>
              <w:rPr>
                <w:rFonts w:ascii="Arial" w:hAnsi="Arial"/>
                <w:color w:val="auto"/>
                <w:spacing w:val="32"/>
                <w:sz w:val="24"/>
                <w:szCs w:val="24"/>
              </w:rPr>
              <w:t xml:space="preserve"> </w:t>
            </w:r>
            <w:r>
              <w:rPr>
                <w:rFonts w:ascii="Arial" w:hAnsi="Arial"/>
                <w:color w:val="auto"/>
                <w:sz w:val="24"/>
                <w:szCs w:val="24"/>
              </w:rPr>
              <w:t>udziałów</w:t>
            </w:r>
            <w:r>
              <w:rPr>
                <w:rFonts w:ascii="Arial" w:hAnsi="Arial"/>
                <w:color w:val="auto"/>
                <w:spacing w:val="32"/>
                <w:sz w:val="24"/>
                <w:szCs w:val="24"/>
              </w:rPr>
              <w:t xml:space="preserve"> </w:t>
            </w:r>
            <w:r>
              <w:rPr>
                <w:rFonts w:ascii="Arial" w:hAnsi="Arial"/>
                <w:color w:val="auto"/>
                <w:sz w:val="24"/>
                <w:szCs w:val="24"/>
              </w:rPr>
              <w:t>oraz</w:t>
            </w:r>
            <w:r>
              <w:rPr>
                <w:rFonts w:ascii="Arial" w:hAnsi="Arial"/>
                <w:color w:val="auto"/>
                <w:spacing w:val="32"/>
                <w:sz w:val="24"/>
                <w:szCs w:val="24"/>
              </w:rPr>
              <w:t xml:space="preserve"> </w:t>
            </w:r>
            <w:r>
              <w:rPr>
                <w:rFonts w:ascii="Arial" w:hAnsi="Arial"/>
                <w:color w:val="auto"/>
                <w:sz w:val="24"/>
                <w:szCs w:val="24"/>
              </w:rPr>
              <w:t>dłużnych</w:t>
            </w:r>
            <w:r>
              <w:rPr>
                <w:rFonts w:ascii="Arial" w:hAnsi="Arial"/>
                <w:color w:val="auto"/>
                <w:spacing w:val="32"/>
                <w:sz w:val="24"/>
                <w:szCs w:val="24"/>
              </w:rPr>
              <w:t xml:space="preserve"> </w:t>
            </w:r>
            <w:r>
              <w:rPr>
                <w:rFonts w:ascii="Arial" w:hAnsi="Arial"/>
                <w:color w:val="auto"/>
                <w:sz w:val="24"/>
                <w:szCs w:val="24"/>
              </w:rPr>
              <w:t>papierów wartościowych</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1.7</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rFonts w:ascii="Arial" w:hAnsi="Arial"/>
                <w:color w:val="auto"/>
                <w:sz w:val="24"/>
                <w:szCs w:val="24"/>
              </w:rPr>
            </w:pPr>
            <w:r>
              <w:rPr>
                <w:rFonts w:ascii="Arial" w:hAnsi="Arial"/>
                <w:color w:val="auto"/>
                <w:sz w:val="24"/>
                <w:szCs w:val="24"/>
              </w:rPr>
              <w:t>dane o</w:t>
            </w:r>
            <w:r>
              <w:rPr>
                <w:rFonts w:ascii="Arial" w:hAnsi="Arial"/>
                <w:color w:val="auto"/>
                <w:spacing w:val="1"/>
                <w:sz w:val="24"/>
                <w:szCs w:val="24"/>
              </w:rPr>
              <w:t xml:space="preserve"> </w:t>
            </w:r>
            <w:r>
              <w:rPr>
                <w:rFonts w:ascii="Arial" w:hAnsi="Arial"/>
                <w:color w:val="auto"/>
                <w:sz w:val="24"/>
                <w:szCs w:val="24"/>
              </w:rPr>
              <w:t>odpisach</w:t>
            </w:r>
            <w:r>
              <w:rPr>
                <w:rFonts w:ascii="Arial" w:hAnsi="Arial"/>
                <w:color w:val="auto"/>
                <w:spacing w:val="1"/>
                <w:sz w:val="24"/>
                <w:szCs w:val="24"/>
              </w:rPr>
              <w:t xml:space="preserve"> </w:t>
            </w:r>
            <w:r>
              <w:rPr>
                <w:rFonts w:ascii="Arial" w:hAnsi="Arial"/>
                <w:color w:val="auto"/>
                <w:sz w:val="24"/>
                <w:szCs w:val="24"/>
              </w:rPr>
              <w:t>aktualizujących wartość należności, ze wskazaniem stanu na początek roku</w:t>
            </w:r>
            <w:r>
              <w:rPr>
                <w:rFonts w:ascii="Arial" w:hAnsi="Arial"/>
                <w:color w:val="auto"/>
                <w:spacing w:val="1"/>
                <w:sz w:val="24"/>
                <w:szCs w:val="24"/>
              </w:rPr>
              <w:t xml:space="preserve"> </w:t>
            </w:r>
            <w:r>
              <w:rPr>
                <w:rFonts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1.8</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rPr>
                <w:rFonts w:ascii="Arial" w:hAnsi="Arial"/>
                <w:color w:val="auto"/>
                <w:sz w:val="24"/>
                <w:szCs w:val="24"/>
              </w:rPr>
            </w:pPr>
            <w:r>
              <w:rPr>
                <w:rFonts w:ascii="Arial" w:hAnsi="Arial"/>
                <w:color w:val="auto"/>
                <w:sz w:val="24"/>
                <w:szCs w:val="24"/>
              </w:rPr>
              <w:t>dane</w:t>
            </w:r>
            <w:r>
              <w:rPr>
                <w:rFonts w:ascii="Arial" w:hAnsi="Arial"/>
                <w:color w:val="auto"/>
                <w:spacing w:val="4"/>
                <w:sz w:val="24"/>
                <w:szCs w:val="24"/>
              </w:rPr>
              <w:t xml:space="preserve"> </w:t>
            </w:r>
            <w:r>
              <w:rPr>
                <w:rFonts w:ascii="Arial" w:hAnsi="Arial"/>
                <w:color w:val="auto"/>
                <w:sz w:val="24"/>
                <w:szCs w:val="24"/>
              </w:rPr>
              <w:t>o</w:t>
            </w:r>
            <w:r>
              <w:rPr>
                <w:rFonts w:ascii="Arial" w:hAnsi="Arial"/>
                <w:color w:val="auto"/>
                <w:spacing w:val="4"/>
                <w:sz w:val="24"/>
                <w:szCs w:val="24"/>
              </w:rPr>
              <w:t xml:space="preserve"> </w:t>
            </w:r>
            <w:r>
              <w:rPr>
                <w:rFonts w:ascii="Arial" w:hAnsi="Arial"/>
                <w:color w:val="auto"/>
                <w:sz w:val="24"/>
                <w:szCs w:val="24"/>
              </w:rPr>
              <w:t>stanie</w:t>
            </w:r>
            <w:r>
              <w:rPr>
                <w:rFonts w:ascii="Arial" w:hAnsi="Arial"/>
                <w:color w:val="auto"/>
                <w:spacing w:val="4"/>
                <w:sz w:val="24"/>
                <w:szCs w:val="24"/>
              </w:rPr>
              <w:t xml:space="preserve"> </w:t>
            </w:r>
            <w:r>
              <w:rPr>
                <w:rFonts w:ascii="Arial" w:hAnsi="Arial"/>
                <w:color w:val="auto"/>
                <w:sz w:val="24"/>
                <w:szCs w:val="24"/>
              </w:rPr>
              <w:t>rezerw</w:t>
            </w:r>
            <w:r>
              <w:rPr>
                <w:rFonts w:ascii="Arial" w:hAnsi="Arial"/>
                <w:color w:val="auto"/>
                <w:spacing w:val="4"/>
                <w:sz w:val="24"/>
                <w:szCs w:val="24"/>
              </w:rPr>
              <w:t xml:space="preserve"> </w:t>
            </w:r>
            <w:r>
              <w:rPr>
                <w:rFonts w:ascii="Arial" w:hAnsi="Arial"/>
                <w:color w:val="auto"/>
                <w:sz w:val="24"/>
                <w:szCs w:val="24"/>
              </w:rPr>
              <w:t>według</w:t>
            </w:r>
            <w:r>
              <w:rPr>
                <w:rFonts w:ascii="Arial" w:hAnsi="Arial"/>
                <w:color w:val="auto"/>
                <w:spacing w:val="4"/>
                <w:sz w:val="24"/>
                <w:szCs w:val="24"/>
              </w:rPr>
              <w:t xml:space="preserve"> </w:t>
            </w:r>
            <w:r>
              <w:rPr>
                <w:rFonts w:ascii="Arial" w:hAnsi="Arial"/>
                <w:color w:val="auto"/>
                <w:sz w:val="24"/>
                <w:szCs w:val="24"/>
              </w:rPr>
              <w:t>celu</w:t>
            </w:r>
            <w:r>
              <w:rPr>
                <w:rFonts w:ascii="Arial" w:hAnsi="Arial"/>
                <w:color w:val="auto"/>
                <w:spacing w:val="4"/>
                <w:sz w:val="24"/>
                <w:szCs w:val="24"/>
              </w:rPr>
              <w:t xml:space="preserve"> </w:t>
            </w:r>
            <w:r>
              <w:rPr>
                <w:rFonts w:ascii="Arial" w:hAnsi="Arial"/>
                <w:color w:val="auto"/>
                <w:sz w:val="24"/>
                <w:szCs w:val="24"/>
              </w:rPr>
              <w:t>ich</w:t>
            </w:r>
            <w:r>
              <w:rPr>
                <w:rFonts w:ascii="Arial" w:hAnsi="Arial"/>
                <w:color w:val="auto"/>
                <w:spacing w:val="4"/>
                <w:sz w:val="24"/>
                <w:szCs w:val="24"/>
              </w:rPr>
              <w:t xml:space="preserve"> </w:t>
            </w:r>
            <w:r>
              <w:rPr>
                <w:rFonts w:ascii="Arial" w:hAnsi="Arial"/>
                <w:color w:val="auto"/>
                <w:sz w:val="24"/>
                <w:szCs w:val="24"/>
              </w:rPr>
              <w:t>utworzenia</w:t>
            </w:r>
            <w:r>
              <w:rPr>
                <w:rFonts w:ascii="Arial" w:hAnsi="Arial"/>
                <w:color w:val="auto"/>
                <w:spacing w:val="4"/>
                <w:sz w:val="24"/>
                <w:szCs w:val="24"/>
              </w:rPr>
              <w:t xml:space="preserve"> </w:t>
            </w:r>
            <w:r>
              <w:rPr>
                <w:rFonts w:ascii="Arial" w:hAnsi="Arial"/>
                <w:color w:val="auto"/>
                <w:sz w:val="24"/>
                <w:szCs w:val="24"/>
              </w:rPr>
              <w:t>na</w:t>
            </w:r>
            <w:r>
              <w:rPr>
                <w:rFonts w:ascii="Arial" w:hAnsi="Arial"/>
                <w:color w:val="auto"/>
                <w:spacing w:val="4"/>
                <w:sz w:val="24"/>
                <w:szCs w:val="24"/>
              </w:rPr>
              <w:t xml:space="preserve"> </w:t>
            </w:r>
            <w:r>
              <w:rPr>
                <w:rFonts w:ascii="Arial" w:hAnsi="Arial"/>
                <w:color w:val="auto"/>
                <w:sz w:val="24"/>
                <w:szCs w:val="24"/>
              </w:rPr>
              <w:t>początek</w:t>
            </w:r>
            <w:r>
              <w:rPr>
                <w:rFonts w:ascii="Arial" w:hAnsi="Arial"/>
                <w:color w:val="auto"/>
                <w:spacing w:val="4"/>
                <w:sz w:val="24"/>
                <w:szCs w:val="24"/>
              </w:rPr>
              <w:t xml:space="preserve"> </w:t>
            </w:r>
            <w:r>
              <w:rPr>
                <w:rFonts w:ascii="Arial" w:hAnsi="Arial"/>
                <w:color w:val="auto"/>
                <w:sz w:val="24"/>
                <w:szCs w:val="24"/>
              </w:rPr>
              <w:t>roku</w:t>
            </w:r>
            <w:r>
              <w:rPr>
                <w:rFonts w:ascii="Arial" w:hAnsi="Arial"/>
                <w:color w:val="auto"/>
                <w:spacing w:val="4"/>
                <w:sz w:val="24"/>
                <w:szCs w:val="24"/>
              </w:rPr>
              <w:t xml:space="preserve"> </w:t>
            </w:r>
            <w:r>
              <w:rPr>
                <w:rFonts w:ascii="Arial" w:hAnsi="Arial"/>
                <w:color w:val="auto"/>
                <w:sz w:val="24"/>
                <w:szCs w:val="24"/>
              </w:rPr>
              <w:t>obrotowego,</w:t>
            </w:r>
            <w:r>
              <w:rPr>
                <w:rFonts w:ascii="Arial" w:hAnsi="Arial"/>
                <w:color w:val="auto"/>
                <w:spacing w:val="4"/>
                <w:sz w:val="24"/>
                <w:szCs w:val="24"/>
              </w:rPr>
              <w:t xml:space="preserve"> </w:t>
            </w:r>
            <w:r>
              <w:rPr>
                <w:rFonts w:ascii="Arial" w:hAnsi="Arial"/>
                <w:color w:val="auto"/>
                <w:sz w:val="24"/>
                <w:szCs w:val="24"/>
              </w:rPr>
              <w:t>zwiększeniach,</w:t>
            </w:r>
            <w:r>
              <w:rPr>
                <w:rFonts w:ascii="Arial" w:hAnsi="Arial"/>
                <w:color w:val="auto"/>
                <w:spacing w:val="4"/>
                <w:sz w:val="24"/>
                <w:szCs w:val="24"/>
              </w:rPr>
              <w:t xml:space="preserve"> </w:t>
            </w:r>
            <w:r>
              <w:rPr>
                <w:rFonts w:ascii="Arial" w:hAnsi="Arial"/>
                <w:color w:val="auto"/>
                <w:sz w:val="24"/>
                <w:szCs w:val="24"/>
              </w:rPr>
              <w:t>wykorzystaniu, rozwiązaniu i stanie końcowym</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1.9</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rFonts w:ascii="Arial" w:hAnsi="Arial"/>
                <w:color w:val="auto"/>
                <w:sz w:val="24"/>
                <w:szCs w:val="24"/>
              </w:rPr>
            </w:pPr>
            <w:r>
              <w:rPr>
                <w:rFonts w:ascii="Arial" w:hAnsi="Arial"/>
                <w:color w:val="auto"/>
                <w:sz w:val="24"/>
                <w:szCs w:val="24"/>
              </w:rPr>
              <w:t xml:space="preserve">podział  </w:t>
            </w:r>
            <w:r>
              <w:rPr>
                <w:rFonts w:ascii="Arial" w:hAnsi="Arial"/>
                <w:color w:val="auto"/>
                <w:spacing w:val="3"/>
                <w:sz w:val="24"/>
                <w:szCs w:val="24"/>
              </w:rPr>
              <w:t xml:space="preserve"> </w:t>
            </w:r>
            <w:r>
              <w:rPr>
                <w:rFonts w:ascii="Arial" w:hAnsi="Arial"/>
                <w:color w:val="auto"/>
                <w:sz w:val="24"/>
                <w:szCs w:val="24"/>
              </w:rPr>
              <w:t xml:space="preserve">zobowiązań  </w:t>
            </w:r>
            <w:r>
              <w:rPr>
                <w:rFonts w:ascii="Arial" w:hAnsi="Arial"/>
                <w:color w:val="auto"/>
                <w:spacing w:val="3"/>
                <w:sz w:val="24"/>
                <w:szCs w:val="24"/>
              </w:rPr>
              <w:t xml:space="preserve"> </w:t>
            </w:r>
            <w:r>
              <w:rPr>
                <w:rFonts w:ascii="Arial" w:hAnsi="Arial"/>
                <w:color w:val="auto"/>
                <w:sz w:val="24"/>
                <w:szCs w:val="24"/>
              </w:rPr>
              <w:t xml:space="preserve">długoterminowych o  </w:t>
            </w:r>
            <w:r>
              <w:rPr>
                <w:rFonts w:ascii="Arial" w:hAnsi="Arial"/>
                <w:color w:val="auto"/>
                <w:spacing w:val="3"/>
                <w:sz w:val="24"/>
                <w:szCs w:val="24"/>
              </w:rPr>
              <w:t xml:space="preserve"> </w:t>
            </w:r>
            <w:r>
              <w:rPr>
                <w:rFonts w:ascii="Arial" w:hAnsi="Arial"/>
                <w:color w:val="auto"/>
                <w:sz w:val="24"/>
                <w:szCs w:val="24"/>
              </w:rPr>
              <w:t xml:space="preserve">pozostałym  </w:t>
            </w:r>
            <w:r>
              <w:rPr>
                <w:rFonts w:ascii="Arial" w:hAnsi="Arial"/>
                <w:color w:val="auto"/>
                <w:spacing w:val="3"/>
                <w:sz w:val="24"/>
                <w:szCs w:val="24"/>
              </w:rPr>
              <w:t xml:space="preserve"> </w:t>
            </w:r>
            <w:r>
              <w:rPr>
                <w:rFonts w:ascii="Arial" w:hAnsi="Arial"/>
                <w:color w:val="auto"/>
                <w:sz w:val="24"/>
                <w:szCs w:val="24"/>
              </w:rPr>
              <w:t xml:space="preserve">od  </w:t>
            </w:r>
            <w:r>
              <w:rPr>
                <w:rFonts w:ascii="Arial" w:hAnsi="Arial"/>
                <w:color w:val="auto"/>
                <w:spacing w:val="3"/>
                <w:sz w:val="24"/>
                <w:szCs w:val="24"/>
              </w:rPr>
              <w:t xml:space="preserve"> </w:t>
            </w:r>
            <w:r>
              <w:rPr>
                <w:rFonts w:ascii="Arial" w:hAnsi="Arial"/>
                <w:color w:val="auto"/>
                <w:sz w:val="24"/>
                <w:szCs w:val="24"/>
              </w:rPr>
              <w:t xml:space="preserve">dnia  </w:t>
            </w:r>
            <w:r>
              <w:rPr>
                <w:rFonts w:ascii="Arial" w:hAnsi="Arial"/>
                <w:color w:val="auto"/>
                <w:spacing w:val="3"/>
                <w:sz w:val="24"/>
                <w:szCs w:val="24"/>
              </w:rPr>
              <w:t xml:space="preserve"> </w:t>
            </w:r>
            <w:r>
              <w:rPr>
                <w:rFonts w:ascii="Arial" w:hAnsi="Arial"/>
                <w:color w:val="auto"/>
                <w:sz w:val="24"/>
                <w:szCs w:val="24"/>
              </w:rPr>
              <w:t>bilansowego, przewidywanym umową lub wynikającym z innego tytułu prawnego, okresie spłaty:</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a)</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powyżej 1 roku do 3 lat</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b)</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powyżej 3 do 5 lat</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c)</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powyżej 5 lat</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1.10</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kwotę</w:t>
            </w:r>
            <w:r>
              <w:rPr>
                <w:rFonts w:ascii="Arial" w:hAnsi="Arial"/>
                <w:color w:val="auto"/>
                <w:spacing w:val="1"/>
                <w:sz w:val="24"/>
                <w:szCs w:val="24"/>
              </w:rPr>
              <w:t xml:space="preserve"> </w:t>
            </w:r>
            <w:r>
              <w:rPr>
                <w:rFonts w:ascii="Arial" w:hAnsi="Arial"/>
                <w:color w:val="auto"/>
                <w:sz w:val="24"/>
                <w:szCs w:val="24"/>
              </w:rPr>
              <w:t>zobowiązań</w:t>
            </w:r>
            <w:r>
              <w:rPr>
                <w:rFonts w:ascii="Arial" w:hAnsi="Arial"/>
                <w:color w:val="auto"/>
                <w:spacing w:val="1"/>
                <w:sz w:val="24"/>
                <w:szCs w:val="24"/>
              </w:rPr>
              <w:t xml:space="preserve"> </w:t>
            </w:r>
            <w:r>
              <w:rPr>
                <w:rFonts w:ascii="Arial" w:hAnsi="Arial"/>
                <w:color w:val="auto"/>
                <w:sz w:val="24"/>
                <w:szCs w:val="24"/>
              </w:rPr>
              <w:t>w sytuacji, gdy</w:t>
            </w:r>
            <w:r>
              <w:rPr>
                <w:rFonts w:ascii="Arial" w:hAnsi="Arial"/>
                <w:color w:val="auto"/>
                <w:spacing w:val="1"/>
                <w:sz w:val="24"/>
                <w:szCs w:val="24"/>
              </w:rPr>
              <w:t xml:space="preserve"> </w:t>
            </w:r>
            <w:r>
              <w:rPr>
                <w:rFonts w:ascii="Arial" w:hAnsi="Arial"/>
                <w:color w:val="auto"/>
                <w:sz w:val="24"/>
                <w:szCs w:val="24"/>
              </w:rPr>
              <w:t>jednostka</w:t>
            </w:r>
            <w:r>
              <w:rPr>
                <w:rFonts w:ascii="Arial" w:hAnsi="Arial"/>
                <w:color w:val="auto"/>
                <w:spacing w:val="1"/>
                <w:sz w:val="24"/>
                <w:szCs w:val="24"/>
              </w:rPr>
              <w:t xml:space="preserve"> </w:t>
            </w:r>
            <w:r>
              <w:rPr>
                <w:rFonts w:ascii="Arial" w:hAnsi="Arial"/>
                <w:color w:val="auto"/>
                <w:sz w:val="24"/>
                <w:szCs w:val="24"/>
              </w:rPr>
              <w:t>kwalifikuje umowy</w:t>
            </w:r>
            <w:r>
              <w:rPr>
                <w:rFonts w:ascii="Arial" w:hAnsi="Arial"/>
                <w:color w:val="auto"/>
                <w:spacing w:val="1"/>
                <w:sz w:val="24"/>
                <w:szCs w:val="24"/>
              </w:rPr>
              <w:t xml:space="preserve"> </w:t>
            </w:r>
            <w:r>
              <w:rPr>
                <w:rFonts w:ascii="Arial" w:hAnsi="Arial"/>
                <w:color w:val="auto"/>
                <w:sz w:val="24"/>
                <w:szCs w:val="24"/>
              </w:rPr>
              <w:t>leasingu</w:t>
            </w:r>
            <w:r>
              <w:rPr>
                <w:rFonts w:ascii="Arial" w:hAnsi="Arial"/>
                <w:color w:val="auto"/>
                <w:spacing w:val="1"/>
                <w:sz w:val="24"/>
                <w:szCs w:val="24"/>
              </w:rPr>
              <w:t xml:space="preserve"> </w:t>
            </w:r>
            <w:r>
              <w:rPr>
                <w:rFonts w:ascii="Arial" w:hAnsi="Arial"/>
                <w:color w:val="auto"/>
                <w:sz w:val="24"/>
                <w:szCs w:val="24"/>
              </w:rPr>
              <w:t>zgodnie</w:t>
            </w:r>
            <w:r>
              <w:rPr>
                <w:rFonts w:ascii="Arial" w:hAnsi="Arial"/>
                <w:color w:val="auto"/>
                <w:spacing w:val="1"/>
                <w:sz w:val="24"/>
                <w:szCs w:val="24"/>
              </w:rPr>
              <w:t xml:space="preserve"> </w:t>
            </w:r>
            <w:r>
              <w:rPr>
                <w:rFonts w:ascii="Arial" w:hAnsi="Arial"/>
                <w:color w:val="auto"/>
                <w:sz w:val="24"/>
                <w:szCs w:val="24"/>
              </w:rPr>
              <w:t>z</w:t>
            </w:r>
            <w:r>
              <w:rPr>
                <w:rFonts w:ascii="Arial" w:hAnsi="Arial"/>
                <w:color w:val="auto"/>
                <w:spacing w:val="1"/>
                <w:sz w:val="24"/>
                <w:szCs w:val="24"/>
              </w:rPr>
              <w:t xml:space="preserve"> </w:t>
            </w:r>
            <w:r>
              <w:rPr>
                <w:rFonts w:ascii="Arial" w:hAnsi="Arial"/>
                <w:color w:val="auto"/>
                <w:sz w:val="24"/>
                <w:szCs w:val="24"/>
              </w:rPr>
              <w:t>przepisami podatkowymi (leasing</w:t>
            </w:r>
            <w:r>
              <w:rPr>
                <w:rFonts w:ascii="Arial" w:hAnsi="Arial"/>
                <w:color w:val="auto"/>
                <w:spacing w:val="-2"/>
                <w:sz w:val="24"/>
                <w:szCs w:val="24"/>
              </w:rPr>
              <w:t xml:space="preserve"> </w:t>
            </w:r>
            <w:r>
              <w:rPr>
                <w:rFonts w:ascii="Arial" w:hAnsi="Arial"/>
                <w:color w:val="auto"/>
                <w:sz w:val="24"/>
                <w:szCs w:val="24"/>
              </w:rPr>
              <w:t>operacyjny),</w:t>
            </w:r>
            <w:r>
              <w:rPr>
                <w:rFonts w:ascii="Arial" w:hAnsi="Arial"/>
                <w:color w:val="auto"/>
                <w:spacing w:val="-2"/>
                <w:sz w:val="24"/>
                <w:szCs w:val="24"/>
              </w:rPr>
              <w:t xml:space="preserve"> </w:t>
            </w:r>
            <w:r>
              <w:rPr>
                <w:rFonts w:ascii="Arial" w:hAnsi="Arial"/>
                <w:color w:val="auto"/>
                <w:sz w:val="24"/>
                <w:szCs w:val="24"/>
              </w:rPr>
              <w:t>a</w:t>
            </w:r>
            <w:r>
              <w:rPr>
                <w:rFonts w:ascii="Arial" w:hAnsi="Arial"/>
                <w:color w:val="auto"/>
                <w:spacing w:val="-2"/>
                <w:sz w:val="24"/>
                <w:szCs w:val="24"/>
              </w:rPr>
              <w:t xml:space="preserve"> </w:t>
            </w:r>
            <w:r>
              <w:rPr>
                <w:rFonts w:ascii="Arial" w:hAnsi="Arial"/>
                <w:color w:val="auto"/>
                <w:sz w:val="24"/>
                <w:szCs w:val="24"/>
              </w:rPr>
              <w:t>według</w:t>
            </w:r>
            <w:r>
              <w:rPr>
                <w:rFonts w:ascii="Arial" w:hAnsi="Arial"/>
                <w:color w:val="auto"/>
                <w:spacing w:val="-2"/>
                <w:sz w:val="24"/>
                <w:szCs w:val="24"/>
              </w:rPr>
              <w:t xml:space="preserve"> </w:t>
            </w:r>
            <w:r>
              <w:rPr>
                <w:rFonts w:ascii="Arial" w:hAnsi="Arial"/>
                <w:color w:val="auto"/>
                <w:sz w:val="24"/>
                <w:szCs w:val="24"/>
              </w:rPr>
              <w:t>przepisów</w:t>
            </w:r>
            <w:r>
              <w:rPr>
                <w:rFonts w:ascii="Arial" w:hAnsi="Arial"/>
                <w:color w:val="auto"/>
                <w:spacing w:val="-2"/>
                <w:sz w:val="24"/>
                <w:szCs w:val="24"/>
              </w:rPr>
              <w:t xml:space="preserve"> </w:t>
            </w:r>
            <w:r>
              <w:rPr>
                <w:rFonts w:ascii="Arial" w:hAnsi="Arial"/>
                <w:color w:val="auto"/>
                <w:sz w:val="24"/>
                <w:szCs w:val="24"/>
              </w:rPr>
              <w:t>o</w:t>
            </w:r>
            <w:r>
              <w:rPr>
                <w:rFonts w:ascii="Arial" w:hAnsi="Arial"/>
                <w:color w:val="auto"/>
                <w:spacing w:val="-2"/>
                <w:sz w:val="24"/>
                <w:szCs w:val="24"/>
              </w:rPr>
              <w:t xml:space="preserve"> </w:t>
            </w:r>
            <w:r>
              <w:rPr>
                <w:rFonts w:ascii="Arial" w:hAnsi="Arial"/>
                <w:color w:val="auto"/>
                <w:sz w:val="24"/>
                <w:szCs w:val="24"/>
              </w:rPr>
              <w:t>rachunkowości</w:t>
            </w:r>
            <w:r>
              <w:rPr>
                <w:rFonts w:ascii="Arial" w:hAnsi="Arial"/>
                <w:color w:val="auto"/>
                <w:spacing w:val="-2"/>
                <w:sz w:val="24"/>
                <w:szCs w:val="24"/>
              </w:rPr>
              <w:t xml:space="preserve"> </w:t>
            </w:r>
            <w:r>
              <w:rPr>
                <w:rFonts w:ascii="Arial" w:hAnsi="Arial"/>
                <w:color w:val="auto"/>
                <w:sz w:val="24"/>
                <w:szCs w:val="24"/>
              </w:rPr>
              <w:t>byłby</w:t>
            </w:r>
            <w:r>
              <w:rPr>
                <w:rFonts w:ascii="Arial" w:hAnsi="Arial"/>
                <w:color w:val="auto"/>
                <w:spacing w:val="-2"/>
                <w:sz w:val="24"/>
                <w:szCs w:val="24"/>
              </w:rPr>
              <w:t xml:space="preserve"> </w:t>
            </w:r>
            <w:r>
              <w:rPr>
                <w:rFonts w:ascii="Arial" w:hAnsi="Arial"/>
                <w:color w:val="auto"/>
                <w:sz w:val="24"/>
                <w:szCs w:val="24"/>
              </w:rPr>
              <w:t>to leasing</w:t>
            </w:r>
            <w:r>
              <w:rPr>
                <w:rFonts w:ascii="Arial" w:hAnsi="Arial"/>
                <w:color w:val="auto"/>
                <w:spacing w:val="-2"/>
                <w:sz w:val="24"/>
                <w:szCs w:val="24"/>
              </w:rPr>
              <w:t xml:space="preserve"> </w:t>
            </w:r>
            <w:r>
              <w:rPr>
                <w:rFonts w:ascii="Arial" w:hAnsi="Arial"/>
                <w:color w:val="auto"/>
                <w:sz w:val="24"/>
                <w:szCs w:val="24"/>
              </w:rPr>
              <w:t>finansowy</w:t>
            </w:r>
            <w:r>
              <w:rPr>
                <w:rFonts w:ascii="Arial" w:hAnsi="Arial"/>
                <w:color w:val="auto"/>
                <w:spacing w:val="-2"/>
                <w:sz w:val="24"/>
                <w:szCs w:val="24"/>
              </w:rPr>
              <w:t xml:space="preserve"> </w:t>
            </w:r>
            <w:r>
              <w:rPr>
                <w:rFonts w:ascii="Arial" w:hAnsi="Arial"/>
                <w:color w:val="auto"/>
                <w:sz w:val="24"/>
                <w:szCs w:val="24"/>
              </w:rPr>
              <w:t>lub</w:t>
            </w:r>
            <w:r>
              <w:rPr>
                <w:rFonts w:ascii="Arial" w:hAnsi="Arial"/>
                <w:color w:val="auto"/>
                <w:spacing w:val="-2"/>
                <w:sz w:val="24"/>
                <w:szCs w:val="24"/>
              </w:rPr>
              <w:t xml:space="preserve"> </w:t>
            </w:r>
            <w:r>
              <w:rPr>
                <w:rFonts w:ascii="Arial" w:hAnsi="Arial"/>
                <w:color w:val="auto"/>
                <w:sz w:val="24"/>
                <w:szCs w:val="24"/>
              </w:rPr>
              <w:t>zwrotny</w:t>
            </w:r>
            <w:r>
              <w:rPr>
                <w:rFonts w:ascii="Arial" w:hAnsi="Arial"/>
                <w:color w:val="auto"/>
                <w:spacing w:val="-2"/>
                <w:sz w:val="24"/>
                <w:szCs w:val="24"/>
              </w:rPr>
              <w:t xml:space="preserve"> </w:t>
            </w:r>
            <w:r>
              <w:rPr>
                <w:rFonts w:ascii="Arial" w:hAnsi="Arial"/>
                <w:color w:val="auto"/>
                <w:sz w:val="24"/>
                <w:szCs w:val="24"/>
              </w:rPr>
              <w:t>z</w:t>
            </w:r>
            <w:r>
              <w:rPr>
                <w:rFonts w:ascii="Arial" w:hAnsi="Arial"/>
                <w:color w:val="auto"/>
                <w:spacing w:val="-2"/>
                <w:sz w:val="24"/>
                <w:szCs w:val="24"/>
              </w:rPr>
              <w:t xml:space="preserve"> </w:t>
            </w:r>
            <w:r>
              <w:rPr>
                <w:rFonts w:ascii="Arial" w:hAnsi="Arial"/>
                <w:color w:val="auto"/>
                <w:sz w:val="24"/>
                <w:szCs w:val="24"/>
              </w:rPr>
              <w:t>podziałem na kwotę zobowiązań z tytułu leasingu finansowego lub leasingu zwrotnego</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łączną</w:t>
            </w:r>
            <w:r>
              <w:rPr>
                <w:rFonts w:ascii="Arial" w:hAnsi="Arial"/>
                <w:color w:val="auto"/>
                <w:spacing w:val="48"/>
                <w:sz w:val="24"/>
                <w:szCs w:val="24"/>
              </w:rPr>
              <w:t xml:space="preserve"> </w:t>
            </w:r>
            <w:r>
              <w:rPr>
                <w:rFonts w:ascii="Arial" w:hAnsi="Arial"/>
                <w:color w:val="auto"/>
                <w:sz w:val="24"/>
                <w:szCs w:val="24"/>
              </w:rPr>
              <w:t>kwotę</w:t>
            </w:r>
            <w:r>
              <w:rPr>
                <w:rFonts w:ascii="Arial" w:hAnsi="Arial"/>
                <w:color w:val="auto"/>
                <w:spacing w:val="48"/>
                <w:sz w:val="24"/>
                <w:szCs w:val="24"/>
              </w:rPr>
              <w:t xml:space="preserve"> </w:t>
            </w:r>
            <w:r>
              <w:rPr>
                <w:rFonts w:ascii="Arial" w:hAnsi="Arial"/>
                <w:color w:val="auto"/>
                <w:sz w:val="24"/>
                <w:szCs w:val="24"/>
              </w:rPr>
              <w:t>zobowiązań</w:t>
            </w:r>
            <w:r>
              <w:rPr>
                <w:rFonts w:ascii="Arial" w:hAnsi="Arial"/>
                <w:color w:val="auto"/>
                <w:spacing w:val="48"/>
                <w:sz w:val="24"/>
                <w:szCs w:val="24"/>
              </w:rPr>
              <w:t xml:space="preserve"> </w:t>
            </w:r>
            <w:r>
              <w:rPr>
                <w:rFonts w:ascii="Arial" w:hAnsi="Arial"/>
                <w:color w:val="auto"/>
                <w:sz w:val="24"/>
                <w:szCs w:val="24"/>
              </w:rPr>
              <w:t>zabezpieczonych</w:t>
            </w:r>
            <w:r>
              <w:rPr>
                <w:rFonts w:ascii="Arial" w:hAnsi="Arial"/>
                <w:color w:val="auto"/>
                <w:spacing w:val="48"/>
                <w:sz w:val="24"/>
                <w:szCs w:val="24"/>
              </w:rPr>
              <w:t xml:space="preserve"> </w:t>
            </w:r>
            <w:r>
              <w:rPr>
                <w:rFonts w:ascii="Arial" w:hAnsi="Arial"/>
                <w:color w:val="auto"/>
                <w:sz w:val="24"/>
                <w:szCs w:val="24"/>
              </w:rPr>
              <w:t>na</w:t>
            </w:r>
            <w:r>
              <w:rPr>
                <w:rFonts w:ascii="Arial" w:hAnsi="Arial"/>
                <w:color w:val="auto"/>
                <w:spacing w:val="48"/>
                <w:sz w:val="24"/>
                <w:szCs w:val="24"/>
              </w:rPr>
              <w:t xml:space="preserve"> </w:t>
            </w:r>
            <w:r>
              <w:rPr>
                <w:rFonts w:ascii="Arial" w:hAnsi="Arial"/>
                <w:color w:val="auto"/>
                <w:sz w:val="24"/>
                <w:szCs w:val="24"/>
              </w:rPr>
              <w:t>majątku</w:t>
            </w:r>
            <w:r>
              <w:rPr>
                <w:rFonts w:ascii="Arial" w:hAnsi="Arial"/>
                <w:color w:val="auto"/>
                <w:spacing w:val="48"/>
                <w:sz w:val="24"/>
                <w:szCs w:val="24"/>
              </w:rPr>
              <w:t xml:space="preserve"> </w:t>
            </w:r>
            <w:r>
              <w:rPr>
                <w:rFonts w:ascii="Arial" w:hAnsi="Arial"/>
                <w:color w:val="auto"/>
                <w:sz w:val="24"/>
                <w:szCs w:val="24"/>
              </w:rPr>
              <w:t>jednostki</w:t>
            </w:r>
            <w:r>
              <w:rPr>
                <w:rFonts w:ascii="Arial" w:hAnsi="Arial"/>
                <w:color w:val="auto"/>
                <w:spacing w:val="48"/>
                <w:sz w:val="24"/>
                <w:szCs w:val="24"/>
              </w:rPr>
              <w:t xml:space="preserve"> </w:t>
            </w:r>
            <w:r>
              <w:rPr>
                <w:rFonts w:ascii="Arial" w:hAnsi="Arial"/>
                <w:color w:val="auto"/>
                <w:sz w:val="24"/>
                <w:szCs w:val="24"/>
              </w:rPr>
              <w:t>ze</w:t>
            </w:r>
            <w:r>
              <w:rPr>
                <w:rFonts w:ascii="Arial" w:hAnsi="Arial"/>
                <w:color w:val="auto"/>
                <w:spacing w:val="48"/>
                <w:sz w:val="24"/>
                <w:szCs w:val="24"/>
              </w:rPr>
              <w:t xml:space="preserve"> </w:t>
            </w:r>
            <w:r>
              <w:rPr>
                <w:rFonts w:ascii="Arial" w:hAnsi="Arial"/>
                <w:color w:val="auto"/>
                <w:sz w:val="24"/>
                <w:szCs w:val="24"/>
              </w:rPr>
              <w:t>wskazaniem</w:t>
            </w:r>
            <w:r>
              <w:rPr>
                <w:rFonts w:ascii="Arial" w:hAnsi="Arial"/>
                <w:color w:val="auto"/>
                <w:spacing w:val="48"/>
                <w:sz w:val="24"/>
                <w:szCs w:val="24"/>
              </w:rPr>
              <w:t xml:space="preserve"> </w:t>
            </w:r>
            <w:r>
              <w:rPr>
                <w:rFonts w:ascii="Arial" w:hAnsi="Arial"/>
                <w:color w:val="auto"/>
                <w:sz w:val="24"/>
                <w:szCs w:val="24"/>
              </w:rPr>
              <w:t>charakteru</w:t>
            </w:r>
            <w:r>
              <w:rPr>
                <w:rFonts w:ascii="Arial" w:hAnsi="Arial"/>
                <w:color w:val="auto"/>
                <w:spacing w:val="48"/>
                <w:sz w:val="24"/>
                <w:szCs w:val="24"/>
              </w:rPr>
              <w:t xml:space="preserve"> </w:t>
            </w:r>
            <w:r>
              <w:rPr>
                <w:rFonts w:ascii="Arial" w:hAnsi="Arial"/>
                <w:color w:val="auto"/>
                <w:sz w:val="24"/>
                <w:szCs w:val="24"/>
              </w:rPr>
              <w:t>i</w:t>
            </w:r>
            <w:r>
              <w:rPr>
                <w:rFonts w:ascii="Arial" w:hAnsi="Arial"/>
                <w:color w:val="auto"/>
                <w:spacing w:val="48"/>
                <w:sz w:val="24"/>
                <w:szCs w:val="24"/>
              </w:rPr>
              <w:t xml:space="preserve"> </w:t>
            </w:r>
            <w:r>
              <w:rPr>
                <w:rFonts w:ascii="Arial" w:hAnsi="Arial"/>
                <w:color w:val="auto"/>
                <w:sz w:val="24"/>
                <w:szCs w:val="24"/>
              </w:rPr>
              <w:t>formy</w:t>
            </w:r>
            <w:r>
              <w:rPr>
                <w:rFonts w:ascii="Arial" w:hAnsi="Arial"/>
                <w:color w:val="auto"/>
                <w:spacing w:val="48"/>
                <w:sz w:val="24"/>
                <w:szCs w:val="24"/>
              </w:rPr>
              <w:t xml:space="preserve"> </w:t>
            </w:r>
            <w:r>
              <w:rPr>
                <w:rFonts w:ascii="Arial" w:hAnsi="Arial"/>
                <w:color w:val="auto"/>
                <w:sz w:val="24"/>
                <w:szCs w:val="24"/>
              </w:rPr>
              <w:t>tych zabezpieczeń</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rFonts w:ascii="Arial" w:hAnsi="Arial"/>
                <w:color w:val="auto"/>
                <w:sz w:val="24"/>
                <w:szCs w:val="24"/>
              </w:rPr>
            </w:pPr>
            <w:r>
              <w:rPr>
                <w:rFonts w:ascii="Arial" w:hAnsi="Arial"/>
                <w:color w:val="auto"/>
                <w:sz w:val="24"/>
                <w:szCs w:val="24"/>
              </w:rPr>
              <w:t>łączną kwotę zobowiązań warunkowych, w tym również udzielonych przez jednostkę gwarancji i poręczeń, także wekslowych, niewykazanych w</w:t>
            </w:r>
            <w:r>
              <w:rPr>
                <w:rFonts w:ascii="Arial" w:hAnsi="Arial"/>
                <w:color w:val="auto"/>
                <w:spacing w:val="1"/>
                <w:sz w:val="24"/>
                <w:szCs w:val="24"/>
              </w:rPr>
              <w:t xml:space="preserve"> </w:t>
            </w:r>
            <w:r>
              <w:rPr>
                <w:rFonts w:ascii="Arial" w:hAnsi="Arial"/>
                <w:color w:val="auto"/>
                <w:sz w:val="24"/>
                <w:szCs w:val="24"/>
              </w:rPr>
              <w:t>bilansie, ze wskazaniem zobowiązań zabezpieczonych na majątku jednostki oraz charakteru i formy tych zabezpieczeń</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color w:val="2E2014"/>
                <w:sz w:val="20"/>
                <w:szCs w:val="20"/>
              </w:rPr>
            </w:pPr>
            <w:r>
              <w:rPr>
                <w:rFonts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łączną kwotę otrzymanych przez jednostkę gwarancji i poręczeń niewykazanych w bilansie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rHeight w:val="477" w:hRule="atLeast"/>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rFonts w:ascii="Arial" w:hAnsi="Arial"/>
                <w:color w:val="auto"/>
                <w:sz w:val="24"/>
                <w:szCs w:val="24"/>
              </w:rPr>
            </w:pPr>
            <w:r>
              <w:rPr>
                <w:rFonts w:ascii="Arial" w:hAnsi="Arial"/>
                <w:color w:val="auto"/>
                <w:sz w:val="24"/>
                <w:szCs w:val="24"/>
              </w:rPr>
              <w:t>1.15</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kwotę wypłaconych środków pieniężnych na świadczenia pracownicze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118 018,41 PLN</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1.16</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inne informacje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Umorzenie pozostałych środków trwałych – 507 076,72 PLN</w:t>
            </w:r>
          </w:p>
          <w:p>
            <w:pPr>
              <w:pStyle w:val="Standard"/>
              <w:spacing w:lineRule="atLeast" w:line="100" w:before="0" w:after="0"/>
              <w:rPr>
                <w:b/>
                <w:b/>
                <w:sz w:val="24"/>
                <w:szCs w:val="24"/>
              </w:rPr>
            </w:pPr>
            <w:r>
              <w:rPr>
                <w:rFonts w:ascii="Arial" w:hAnsi="Arial"/>
                <w:b/>
                <w:color w:val="auto"/>
                <w:sz w:val="24"/>
                <w:szCs w:val="24"/>
              </w:rPr>
              <w:t>Zbiory biblioteczne – 6 742,26 PLN</w:t>
            </w:r>
          </w:p>
        </w:tc>
      </w:tr>
      <w:tr>
        <w:trPr/>
        <w:tc>
          <w:tcPr>
            <w:tcW w:w="572" w:type="dxa"/>
            <w:tcBorders>
              <w:top w:val="single" w:sz="4" w:space="0" w:color="000000"/>
              <w:left w:val="single" w:sz="4" w:space="0" w:color="000000"/>
              <w:bottom w:val="single" w:sz="4" w:space="0" w:color="000000"/>
            </w:tcBorders>
            <w:shd w:fill="auto" w:val="clear"/>
          </w:tcPr>
          <w:p>
            <w:pPr>
              <w:pStyle w:val="Standard"/>
              <w:spacing w:lineRule="atLeast" w:line="100" w:before="0" w:after="0"/>
              <w:rPr>
                <w:rFonts w:cs="Calibri"/>
                <w:sz w:val="20"/>
                <w:szCs w:val="20"/>
              </w:rPr>
            </w:pPr>
            <w:r>
              <w:rPr>
                <w:rFonts w:cs="Calibri" w:ascii="Arial" w:hAnsi="Arial"/>
                <w:color w:val="auto"/>
                <w:sz w:val="24"/>
                <w:szCs w:val="24"/>
              </w:rPr>
              <w:t>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ascii="Arial" w:hAnsi="Arial"/>
                <w:b/>
                <w:b/>
                <w:color w:val="auto"/>
                <w:sz w:val="24"/>
                <w:szCs w:val="24"/>
              </w:rPr>
            </w:pPr>
            <w:r>
              <w:rPr>
                <w:rFonts w:ascii="Arial" w:hAnsi="Arial"/>
                <w:b/>
                <w:color w:val="auto"/>
                <w:sz w:val="24"/>
                <w:szCs w:val="24"/>
              </w:rPr>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2.1</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wysokość odpisów aktualizujących wartość zapasów</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jc w:val="both"/>
              <w:rPr>
                <w:color w:val="2E2014"/>
                <w:sz w:val="20"/>
                <w:szCs w:val="20"/>
              </w:rPr>
            </w:pPr>
            <w:r>
              <w:rPr>
                <w:rFonts w:ascii="Arial" w:hAnsi="Arial"/>
                <w:color w:val="auto"/>
                <w:sz w:val="24"/>
                <w:szCs w:val="24"/>
              </w:rPr>
              <w:t>2.2</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jc w:val="both"/>
              <w:rPr>
                <w:color w:val="2E2014"/>
                <w:sz w:val="20"/>
                <w:szCs w:val="20"/>
              </w:rPr>
            </w:pPr>
            <w:r>
              <w:rPr>
                <w:rFonts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7" w:after="0"/>
              <w:ind w:right="-20" w:hanging="0"/>
              <w:rPr>
                <w:color w:val="2E2014"/>
                <w:sz w:val="20"/>
                <w:szCs w:val="20"/>
              </w:rPr>
            </w:pPr>
            <w:r>
              <w:rPr>
                <w:rFonts w:ascii="Arial" w:hAnsi="Arial"/>
                <w:color w:val="auto"/>
                <w:sz w:val="24"/>
                <w:szCs w:val="24"/>
              </w:rPr>
              <w:t>2.3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7" w:after="0"/>
              <w:ind w:right="40" w:hanging="0"/>
              <w:rPr>
                <w:rFonts w:ascii="Arial" w:hAnsi="Arial"/>
                <w:color w:val="auto"/>
                <w:sz w:val="24"/>
                <w:szCs w:val="24"/>
              </w:rPr>
            </w:pPr>
            <w:r>
              <w:rPr>
                <w:rFonts w:ascii="Arial" w:hAnsi="Arial"/>
                <w:color w:val="auto"/>
                <w:sz w:val="24"/>
                <w:szCs w:val="24"/>
              </w:rPr>
              <w:t>kwotę</w:t>
            </w:r>
            <w:r>
              <w:rPr>
                <w:rFonts w:ascii="Arial" w:hAnsi="Arial"/>
                <w:color w:val="auto"/>
                <w:spacing w:val="-12"/>
                <w:sz w:val="24"/>
                <w:szCs w:val="24"/>
              </w:rPr>
              <w:t xml:space="preserve"> </w:t>
            </w:r>
            <w:r>
              <w:rPr>
                <w:rFonts w:ascii="Arial" w:hAnsi="Arial"/>
                <w:color w:val="auto"/>
                <w:sz w:val="24"/>
                <w:szCs w:val="24"/>
              </w:rPr>
              <w:t>i</w:t>
            </w:r>
            <w:r>
              <w:rPr>
                <w:rFonts w:ascii="Arial" w:hAnsi="Arial"/>
                <w:color w:val="auto"/>
                <w:spacing w:val="-12"/>
                <w:sz w:val="24"/>
                <w:szCs w:val="24"/>
              </w:rPr>
              <w:t xml:space="preserve"> </w:t>
            </w:r>
            <w:r>
              <w:rPr>
                <w:rFonts w:ascii="Arial" w:hAnsi="Arial"/>
                <w:color w:val="auto"/>
                <w:sz w:val="24"/>
                <w:szCs w:val="24"/>
              </w:rPr>
              <w:t>charakter</w:t>
            </w:r>
            <w:r>
              <w:rPr>
                <w:rFonts w:ascii="Arial" w:hAnsi="Arial"/>
                <w:color w:val="auto"/>
                <w:spacing w:val="-12"/>
                <w:sz w:val="24"/>
                <w:szCs w:val="24"/>
              </w:rPr>
              <w:t xml:space="preserve"> </w:t>
            </w:r>
            <w:r>
              <w:rPr>
                <w:rFonts w:ascii="Arial" w:hAnsi="Arial"/>
                <w:color w:val="auto"/>
                <w:sz w:val="24"/>
                <w:szCs w:val="24"/>
              </w:rPr>
              <w:t>poszczególnych</w:t>
            </w:r>
            <w:r>
              <w:rPr>
                <w:rFonts w:ascii="Arial" w:hAnsi="Arial"/>
                <w:color w:val="auto"/>
                <w:spacing w:val="-12"/>
                <w:sz w:val="24"/>
                <w:szCs w:val="24"/>
              </w:rPr>
              <w:t xml:space="preserve"> </w:t>
            </w:r>
            <w:r>
              <w:rPr>
                <w:rFonts w:ascii="Arial" w:hAnsi="Arial"/>
                <w:color w:val="auto"/>
                <w:sz w:val="24"/>
                <w:szCs w:val="24"/>
              </w:rPr>
              <w:t>pozycji</w:t>
            </w:r>
            <w:r>
              <w:rPr>
                <w:rFonts w:ascii="Arial" w:hAnsi="Arial"/>
                <w:color w:val="auto"/>
                <w:spacing w:val="-12"/>
                <w:sz w:val="24"/>
                <w:szCs w:val="24"/>
              </w:rPr>
              <w:t xml:space="preserve"> </w:t>
            </w:r>
            <w:r>
              <w:rPr>
                <w:rFonts w:ascii="Arial" w:hAnsi="Arial"/>
                <w:color w:val="auto"/>
                <w:sz w:val="24"/>
                <w:szCs w:val="24"/>
              </w:rPr>
              <w:t>przychodów</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kosztów</w:t>
            </w:r>
            <w:r>
              <w:rPr>
                <w:rFonts w:ascii="Arial" w:hAnsi="Arial"/>
                <w:color w:val="auto"/>
                <w:spacing w:val="-12"/>
                <w:sz w:val="24"/>
                <w:szCs w:val="24"/>
              </w:rPr>
              <w:t xml:space="preserve"> </w:t>
            </w:r>
            <w:r>
              <w:rPr>
                <w:rFonts w:ascii="Arial" w:hAnsi="Arial"/>
                <w:color w:val="auto"/>
                <w:sz w:val="24"/>
                <w:szCs w:val="24"/>
              </w:rPr>
              <w:t>o</w:t>
            </w:r>
            <w:r>
              <w:rPr>
                <w:rFonts w:ascii="Arial" w:hAnsi="Arial"/>
                <w:color w:val="auto"/>
                <w:spacing w:val="-12"/>
                <w:sz w:val="24"/>
                <w:szCs w:val="24"/>
              </w:rPr>
              <w:t xml:space="preserve"> </w:t>
            </w:r>
            <w:r>
              <w:rPr>
                <w:rFonts w:ascii="Arial" w:hAnsi="Arial"/>
                <w:color w:val="auto"/>
                <w:sz w:val="24"/>
                <w:szCs w:val="24"/>
              </w:rPr>
              <w:t>nadzwyczajnej</w:t>
            </w:r>
            <w:r>
              <w:rPr>
                <w:rFonts w:ascii="Arial" w:hAnsi="Arial"/>
                <w:color w:val="auto"/>
                <w:spacing w:val="-13"/>
                <w:sz w:val="24"/>
                <w:szCs w:val="24"/>
              </w:rPr>
              <w:t xml:space="preserve"> </w:t>
            </w:r>
            <w:r>
              <w:rPr>
                <w:rFonts w:ascii="Arial" w:hAnsi="Arial"/>
                <w:color w:val="auto"/>
                <w:sz w:val="24"/>
                <w:szCs w:val="24"/>
              </w:rPr>
              <w:t>wartości</w:t>
            </w:r>
            <w:r>
              <w:rPr>
                <w:rFonts w:ascii="Arial" w:hAnsi="Arial"/>
                <w:color w:val="auto"/>
                <w:spacing w:val="-12"/>
                <w:sz w:val="24"/>
                <w:szCs w:val="24"/>
              </w:rPr>
              <w:t xml:space="preserve"> </w:t>
            </w:r>
            <w:r>
              <w:rPr>
                <w:rFonts w:ascii="Arial" w:hAnsi="Arial"/>
                <w:color w:val="auto"/>
                <w:sz w:val="24"/>
                <w:szCs w:val="24"/>
              </w:rPr>
              <w:t>lub</w:t>
            </w:r>
            <w:r>
              <w:rPr>
                <w:rFonts w:ascii="Arial" w:hAnsi="Arial"/>
                <w:color w:val="auto"/>
                <w:spacing w:val="-12"/>
                <w:sz w:val="24"/>
                <w:szCs w:val="24"/>
              </w:rPr>
              <w:t xml:space="preserve"> </w:t>
            </w:r>
            <w:r>
              <w:rPr>
                <w:rFonts w:ascii="Arial" w:hAnsi="Arial"/>
                <w:color w:val="auto"/>
                <w:sz w:val="24"/>
                <w:szCs w:val="24"/>
              </w:rPr>
              <w:t>które</w:t>
            </w:r>
            <w:r>
              <w:rPr>
                <w:rFonts w:ascii="Arial" w:hAnsi="Arial"/>
                <w:color w:val="auto"/>
                <w:spacing w:val="-12"/>
                <w:sz w:val="24"/>
                <w:szCs w:val="24"/>
              </w:rPr>
              <w:t xml:space="preserve"> </w:t>
            </w:r>
            <w:r>
              <w:rPr>
                <w:rFonts w:ascii="Arial" w:hAnsi="Arial"/>
                <w:color w:val="auto"/>
                <w:sz w:val="24"/>
                <w:szCs w:val="24"/>
              </w:rPr>
              <w:t>wystąpiły incydentalnie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napToGrid w:val="false"/>
              <w:spacing w:lineRule="atLeast" w:line="100" w:before="0" w:after="0"/>
              <w:rPr>
                <w:rFonts w:cs="Calibri"/>
                <w:b/>
                <w:b/>
                <w:sz w:val="24"/>
                <w:szCs w:val="24"/>
              </w:rPr>
            </w:pPr>
            <w:r>
              <w:rPr>
                <w:rFonts w:cs="Calibri" w:ascii="Arial" w:hAnsi="Arial"/>
                <w:b/>
                <w:color w:val="auto"/>
                <w:sz w:val="24"/>
                <w:szCs w:val="24"/>
              </w:rPr>
              <w:t>Fundusz Pomocy Ukrainie – 32 639,36 zł</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2.4</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jc w:val="both"/>
              <w:rPr>
                <w:color w:val="2E2014"/>
                <w:sz w:val="20"/>
                <w:szCs w:val="20"/>
              </w:rPr>
            </w:pPr>
            <w:r>
              <w:rPr>
                <w:rFonts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2.5</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inne informacje</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r>
        <w:trPr/>
        <w:tc>
          <w:tcPr>
            <w:tcW w:w="572" w:type="dxa"/>
            <w:tcBorders>
              <w:top w:val="single" w:sz="4" w:space="0" w:color="000000"/>
              <w:left w:val="single" w:sz="4" w:space="0" w:color="000000"/>
              <w:bottom w:val="single" w:sz="4" w:space="0" w:color="000000"/>
            </w:tcBorders>
            <w:shd w:fill="auto" w:val="clear"/>
          </w:tcPr>
          <w:p>
            <w:pPr>
              <w:pStyle w:val="Standard"/>
              <w:widowControl w:val="false"/>
              <w:spacing w:lineRule="atLeast" w:line="100" w:before="46" w:after="0"/>
              <w:ind w:right="-20" w:hanging="0"/>
              <w:rPr>
                <w:color w:val="2E2014"/>
                <w:sz w:val="20"/>
                <w:szCs w:val="20"/>
              </w:rPr>
            </w:pPr>
            <w:r>
              <w:rPr>
                <w:rFonts w:ascii="Arial" w:hAnsi="Arial"/>
                <w:color w:val="auto"/>
                <w:sz w:val="24"/>
                <w:szCs w:val="24"/>
              </w:rPr>
              <w:t>3.</w:t>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widowControl w:val="false"/>
              <w:spacing w:lineRule="auto" w:line="240" w:before="46" w:after="0"/>
              <w:ind w:right="40" w:hanging="0"/>
              <w:rPr>
                <w:rFonts w:ascii="Arial" w:hAnsi="Arial"/>
                <w:color w:val="auto"/>
                <w:sz w:val="24"/>
                <w:szCs w:val="24"/>
              </w:rPr>
            </w:pPr>
            <w:r>
              <w:rPr>
                <w:rFonts w:ascii="Arial" w:hAnsi="Arial"/>
                <w:color w:val="auto"/>
                <w:sz w:val="24"/>
                <w:szCs w:val="24"/>
              </w:rPr>
              <w:t>Inne</w:t>
            </w:r>
            <w:r>
              <w:rPr>
                <w:rFonts w:ascii="Arial" w:hAnsi="Arial"/>
                <w:color w:val="auto"/>
                <w:spacing w:val="-14"/>
                <w:sz w:val="24"/>
                <w:szCs w:val="24"/>
              </w:rPr>
              <w:t xml:space="preserve"> </w:t>
            </w:r>
            <w:r>
              <w:rPr>
                <w:rFonts w:ascii="Arial" w:hAnsi="Arial"/>
                <w:color w:val="auto"/>
                <w:sz w:val="24"/>
                <w:szCs w:val="24"/>
              </w:rPr>
              <w:t>informacje</w:t>
            </w:r>
            <w:r>
              <w:rPr>
                <w:rFonts w:ascii="Arial" w:hAnsi="Arial"/>
                <w:color w:val="auto"/>
                <w:spacing w:val="-14"/>
                <w:sz w:val="24"/>
                <w:szCs w:val="24"/>
              </w:rPr>
              <w:t xml:space="preserve"> </w:t>
            </w:r>
            <w:r>
              <w:rPr>
                <w:rFonts w:ascii="Arial" w:hAnsi="Arial"/>
                <w:color w:val="auto"/>
                <w:sz w:val="24"/>
                <w:szCs w:val="24"/>
              </w:rPr>
              <w:t>niż</w:t>
            </w:r>
            <w:r>
              <w:rPr>
                <w:rFonts w:ascii="Arial" w:hAnsi="Arial"/>
                <w:color w:val="auto"/>
                <w:spacing w:val="-14"/>
                <w:sz w:val="24"/>
                <w:szCs w:val="24"/>
              </w:rPr>
              <w:t xml:space="preserve"> </w:t>
            </w:r>
            <w:r>
              <w:rPr>
                <w:rFonts w:ascii="Arial" w:hAnsi="Arial"/>
                <w:color w:val="auto"/>
                <w:sz w:val="24"/>
                <w:szCs w:val="24"/>
              </w:rPr>
              <w:t>wymienione</w:t>
            </w:r>
            <w:r>
              <w:rPr>
                <w:rFonts w:ascii="Arial" w:hAnsi="Arial"/>
                <w:color w:val="auto"/>
                <w:spacing w:val="-14"/>
                <w:sz w:val="24"/>
                <w:szCs w:val="24"/>
              </w:rPr>
              <w:t xml:space="preserve"> </w:t>
            </w:r>
            <w:r>
              <w:rPr>
                <w:rFonts w:ascii="Arial" w:hAnsi="Arial"/>
                <w:color w:val="auto"/>
                <w:sz w:val="24"/>
                <w:szCs w:val="24"/>
              </w:rPr>
              <w:t>powyżej,</w:t>
            </w:r>
            <w:r>
              <w:rPr>
                <w:rFonts w:ascii="Arial" w:hAnsi="Arial"/>
                <w:color w:val="auto"/>
                <w:spacing w:val="-14"/>
                <w:sz w:val="24"/>
                <w:szCs w:val="24"/>
              </w:rPr>
              <w:t xml:space="preserve"> </w:t>
            </w:r>
            <w:r>
              <w:rPr>
                <w:rFonts w:ascii="Arial" w:hAnsi="Arial"/>
                <w:color w:val="auto"/>
                <w:sz w:val="24"/>
                <w:szCs w:val="24"/>
              </w:rPr>
              <w:t>jeżeli</w:t>
            </w:r>
            <w:r>
              <w:rPr>
                <w:rFonts w:ascii="Arial" w:hAnsi="Arial"/>
                <w:color w:val="auto"/>
                <w:spacing w:val="-14"/>
                <w:sz w:val="24"/>
                <w:szCs w:val="24"/>
              </w:rPr>
              <w:t xml:space="preserve"> </w:t>
            </w:r>
            <w:r>
              <w:rPr>
                <w:rFonts w:ascii="Arial" w:hAnsi="Arial"/>
                <w:color w:val="auto"/>
                <w:sz w:val="24"/>
                <w:szCs w:val="24"/>
              </w:rPr>
              <w:t>mogłyby</w:t>
            </w:r>
            <w:r>
              <w:rPr>
                <w:rFonts w:ascii="Arial" w:hAnsi="Arial"/>
                <w:color w:val="auto"/>
                <w:spacing w:val="-14"/>
                <w:sz w:val="24"/>
                <w:szCs w:val="24"/>
              </w:rPr>
              <w:t xml:space="preserve"> </w:t>
            </w:r>
            <w:r>
              <w:rPr>
                <w:rFonts w:ascii="Arial" w:hAnsi="Arial"/>
                <w:color w:val="auto"/>
                <w:sz w:val="24"/>
                <w:szCs w:val="24"/>
              </w:rPr>
              <w:t>w</w:t>
            </w:r>
            <w:r>
              <w:rPr>
                <w:rFonts w:ascii="Arial" w:hAnsi="Arial"/>
                <w:color w:val="auto"/>
                <w:spacing w:val="-14"/>
                <w:sz w:val="24"/>
                <w:szCs w:val="24"/>
              </w:rPr>
              <w:t xml:space="preserve"> </w:t>
            </w:r>
            <w:r>
              <w:rPr>
                <w:rFonts w:ascii="Arial" w:hAnsi="Arial"/>
                <w:color w:val="auto"/>
                <w:sz w:val="24"/>
                <w:szCs w:val="24"/>
              </w:rPr>
              <w:t>istotny</w:t>
            </w:r>
            <w:r>
              <w:rPr>
                <w:rFonts w:ascii="Arial" w:hAnsi="Arial"/>
                <w:color w:val="auto"/>
                <w:spacing w:val="-14"/>
                <w:sz w:val="24"/>
                <w:szCs w:val="24"/>
              </w:rPr>
              <w:t xml:space="preserve"> </w:t>
            </w:r>
            <w:r>
              <w:rPr>
                <w:rFonts w:ascii="Arial" w:hAnsi="Arial"/>
                <w:color w:val="auto"/>
                <w:sz w:val="24"/>
                <w:szCs w:val="24"/>
              </w:rPr>
              <w:t>sposób</w:t>
            </w:r>
            <w:r>
              <w:rPr>
                <w:rFonts w:ascii="Arial" w:hAnsi="Arial"/>
                <w:color w:val="auto"/>
                <w:spacing w:val="-14"/>
                <w:sz w:val="24"/>
                <w:szCs w:val="24"/>
              </w:rPr>
              <w:t xml:space="preserve"> </w:t>
            </w:r>
            <w:r>
              <w:rPr>
                <w:rFonts w:ascii="Arial" w:hAnsi="Arial"/>
                <w:color w:val="auto"/>
                <w:sz w:val="24"/>
                <w:szCs w:val="24"/>
              </w:rPr>
              <w:t>wpłynąć</w:t>
            </w:r>
            <w:r>
              <w:rPr>
                <w:rFonts w:ascii="Arial" w:hAnsi="Arial"/>
                <w:color w:val="auto"/>
                <w:spacing w:val="-14"/>
                <w:sz w:val="24"/>
                <w:szCs w:val="24"/>
              </w:rPr>
              <w:t xml:space="preserve"> </w:t>
            </w:r>
            <w:r>
              <w:rPr>
                <w:rFonts w:ascii="Arial" w:hAnsi="Arial"/>
                <w:color w:val="auto"/>
                <w:sz w:val="24"/>
                <w:szCs w:val="24"/>
              </w:rPr>
              <w:t>na</w:t>
            </w:r>
            <w:r>
              <w:rPr>
                <w:rFonts w:ascii="Arial" w:hAnsi="Arial"/>
                <w:color w:val="auto"/>
                <w:spacing w:val="-14"/>
                <w:sz w:val="24"/>
                <w:szCs w:val="24"/>
              </w:rPr>
              <w:t xml:space="preserve"> </w:t>
            </w:r>
            <w:r>
              <w:rPr>
                <w:rFonts w:ascii="Arial" w:hAnsi="Arial"/>
                <w:color w:val="auto"/>
                <w:sz w:val="24"/>
                <w:szCs w:val="24"/>
              </w:rPr>
              <w:t>ocenę</w:t>
            </w:r>
            <w:r>
              <w:rPr>
                <w:rFonts w:ascii="Arial" w:hAnsi="Arial"/>
                <w:color w:val="auto"/>
                <w:spacing w:val="-14"/>
                <w:sz w:val="24"/>
                <w:szCs w:val="24"/>
              </w:rPr>
              <w:t xml:space="preserve"> </w:t>
            </w:r>
            <w:r>
              <w:rPr>
                <w:rFonts w:ascii="Arial" w:hAnsi="Arial"/>
                <w:color w:val="auto"/>
                <w:sz w:val="24"/>
                <w:szCs w:val="24"/>
              </w:rPr>
              <w:t>sytuacji</w:t>
            </w:r>
            <w:r>
              <w:rPr>
                <w:rFonts w:ascii="Arial" w:hAnsi="Arial"/>
                <w:color w:val="auto"/>
                <w:spacing w:val="-14"/>
                <w:sz w:val="24"/>
                <w:szCs w:val="24"/>
              </w:rPr>
              <w:t xml:space="preserve"> </w:t>
            </w:r>
            <w:r>
              <w:rPr>
                <w:rFonts w:ascii="Arial" w:hAnsi="Arial"/>
                <w:color w:val="auto"/>
                <w:sz w:val="24"/>
                <w:szCs w:val="24"/>
              </w:rPr>
              <w:t>majątkowej i finansowej oraz wynik finansowy jednostki</w:t>
            </w:r>
          </w:p>
        </w:tc>
      </w:tr>
      <w:tr>
        <w:trPr/>
        <w:tc>
          <w:tcPr>
            <w:tcW w:w="572" w:type="dxa"/>
            <w:tcBorders>
              <w:top w:val="single" w:sz="4" w:space="0" w:color="000000"/>
              <w:left w:val="single" w:sz="4" w:space="0" w:color="000000"/>
              <w:bottom w:val="single" w:sz="4" w:space="0" w:color="000000"/>
            </w:tcBorders>
            <w:shd w:fill="auto" w:val="clear"/>
          </w:tcPr>
          <w:p>
            <w:pPr>
              <w:pStyle w:val="Standard"/>
              <w:snapToGrid w:val="false"/>
              <w:spacing w:lineRule="atLeast" w:line="100" w:before="0" w:after="0"/>
              <w:rPr>
                <w:rFonts w:ascii="Arial" w:hAnsi="Arial" w:cs="Calibri"/>
                <w:color w:val="auto"/>
                <w:sz w:val="24"/>
                <w:szCs w:val="24"/>
              </w:rPr>
            </w:pPr>
            <w:r>
              <w:rPr>
                <w:rFonts w:cs="Calibri" w:ascii="Arial" w:hAnsi="Arial"/>
                <w:color w:val="auto"/>
                <w:sz w:val="24"/>
                <w:szCs w:val="24"/>
              </w:rPr>
            </w:r>
          </w:p>
        </w:tc>
        <w:tc>
          <w:tcPr>
            <w:tcW w:w="1456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atLeast" w:line="100" w:before="0" w:after="0"/>
              <w:rPr>
                <w:b/>
                <w:b/>
                <w:sz w:val="24"/>
                <w:szCs w:val="24"/>
              </w:rPr>
            </w:pPr>
            <w:r>
              <w:rPr>
                <w:rFonts w:ascii="Arial" w:hAnsi="Arial"/>
                <w:b/>
                <w:color w:val="auto"/>
                <w:sz w:val="24"/>
                <w:szCs w:val="24"/>
              </w:rPr>
              <w:t>Brak danych</w:t>
            </w:r>
          </w:p>
        </w:tc>
      </w:tr>
    </w:tbl>
    <w:p>
      <w:pPr>
        <w:pStyle w:val="Standard"/>
        <w:rPr>
          <w:rFonts w:ascii="Arial" w:hAnsi="Arial"/>
          <w:color w:val="auto"/>
          <w:sz w:val="24"/>
          <w:szCs w:val="24"/>
        </w:rPr>
      </w:pPr>
      <w:r>
        <w:rPr>
          <w:rFonts w:ascii="Arial" w:hAnsi="Arial"/>
          <w:color w:val="auto"/>
          <w:sz w:val="24"/>
          <w:szCs w:val="24"/>
        </w:rPr>
      </w:r>
      <w:bookmarkStart w:id="0" w:name="_Hlk192149222"/>
      <w:bookmarkStart w:id="1" w:name="_Hlk192149222"/>
    </w:p>
    <w:p>
      <w:pPr>
        <w:pStyle w:val="Standard"/>
        <w:spacing w:lineRule="auto" w:line="240" w:before="0" w:after="0"/>
        <w:ind w:firstLine="426"/>
        <w:rPr>
          <w:color w:val="2E2014"/>
          <w:sz w:val="18"/>
          <w:szCs w:val="18"/>
        </w:rPr>
      </w:pPr>
      <w:r>
        <w:rPr>
          <w:rFonts w:ascii="Arial" w:hAnsi="Arial"/>
          <w:color w:val="auto"/>
          <w:position w:val="-3"/>
          <w:sz w:val="24"/>
          <w:szCs w:val="24"/>
        </w:rPr>
        <w:t>..............................................</w:t>
        <w:tab/>
        <w:tab/>
        <w:tab/>
        <w:tab/>
        <w:t>..............................................</w:t>
        <w:tab/>
        <w:tab/>
        <w:tab/>
        <w:tab/>
        <w:tab/>
        <w:tab/>
      </w:r>
      <w:r>
        <w:rPr>
          <w:rFonts w:ascii="Arial" w:hAnsi="Arial"/>
          <w:color w:val="auto"/>
          <w:sz w:val="24"/>
          <w:szCs w:val="24"/>
        </w:rPr>
        <w:t xml:space="preserve"> </w:t>
      </w:r>
      <w:r>
        <w:rPr>
          <w:rFonts w:ascii="Arial" w:hAnsi="Arial"/>
          <w:color w:val="auto"/>
          <w:position w:val="-3"/>
          <w:sz w:val="24"/>
          <w:szCs w:val="24"/>
        </w:rPr>
        <w:t>..............................................</w:t>
        <w:tab/>
      </w:r>
      <w:r>
        <w:rPr>
          <w:rFonts w:ascii="Arial" w:hAnsi="Arial"/>
          <w:color w:val="auto"/>
          <w:sz w:val="24"/>
          <w:szCs w:val="24"/>
        </w:rPr>
        <w:t xml:space="preserve"> </w:t>
      </w:r>
    </w:p>
    <w:p>
      <w:pPr>
        <w:pStyle w:val="Standard"/>
        <w:spacing w:lineRule="auto" w:line="240" w:before="0" w:after="0"/>
        <w:ind w:firstLine="708"/>
        <w:rPr>
          <w:rFonts w:ascii="Arial" w:hAnsi="Arial"/>
          <w:color w:val="auto"/>
          <w:sz w:val="24"/>
          <w:szCs w:val="24"/>
        </w:rPr>
      </w:pPr>
      <w:bookmarkStart w:id="2" w:name="_Hlk192149222"/>
      <w:r>
        <w:rPr>
          <w:rFonts w:ascii="Arial" w:hAnsi="Arial"/>
          <w:color w:val="auto"/>
          <w:sz w:val="24"/>
          <w:szCs w:val="24"/>
        </w:rPr>
        <w:t>(główny księgowy)</w:t>
        <w:tab/>
        <w:tab/>
        <w:tab/>
        <w:tab/>
        <w:t xml:space="preserve">     </w:t>
        <w:tab/>
        <w:t xml:space="preserve">      (rok, miesiąc, dzień)</w:t>
        <w:tab/>
        <w:tab/>
        <w:tab/>
        <w:tab/>
        <w:tab/>
        <w:tab/>
        <w:t xml:space="preserve">        (kierownik jednostki)</w:t>
      </w:r>
      <w:bookmarkEnd w:id="2"/>
    </w:p>
    <w:sectPr>
      <w:type w:val="nextPage"/>
      <w:pgSz w:orient="landscape" w:w="16838" w:h="11906"/>
      <w:pgMar w:left="851" w:right="851" w:header="0" w:top="851"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02"/>
    <w:family w:val="auto"/>
    <w:pitch w:val="default"/>
  </w:font>
  <w:font w:name="Arial">
    <w:charset w:val="ee"/>
    <w:family w:val="roman"/>
    <w:pitch w:val="variable"/>
  </w:font>
  <w:font w:name="Calibri">
    <w:charset w:val="ee"/>
    <w:family w:val="roman"/>
    <w:pitch w:val="variable"/>
  </w:font>
  <w:font w:name="Arial">
    <w:charset w:val="01"/>
    <w:family w:val="swiss"/>
    <w:pitch w:val="variable"/>
  </w:font>
  <w:font w:name="Liberation Sans1">
    <w:charset w:val="ee"/>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rFonts w:cs="OpenSymbol, '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numFmt w:val="bullet"/>
      <w:lvlText w:val="-"/>
      <w:lvlJc w:val="left"/>
      <w:pPr>
        <w:ind w:left="720" w:hanging="360"/>
      </w:pPr>
      <w:rPr>
        <w:rFonts w:ascii="OpenSymbol" w:hAnsi="OpenSymbol" w:cs="OpenSymbol" w:hint="default"/>
        <w:rFonts w:cs="OpenSymbol, 'Arial Unicode MS'"/>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lvl w:ilvl="0">
      <w:numFmt w:val="bullet"/>
      <w:lvlText w:val="-"/>
      <w:lvlJc w:val="left"/>
      <w:pPr>
        <w:ind w:left="720" w:hanging="360"/>
      </w:pPr>
      <w:rPr>
        <w:rFonts w:ascii="OpenSymbol" w:hAnsi="OpenSymbol" w:cs="OpenSymbol" w:hint="default"/>
        <w:rFonts w:cs="OpenSymbol, 'Arial Unicode MS'"/>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
    <w:lvl w:ilvl="0">
      <w:start w:val="1"/>
      <w:numFmt w:val="bullet"/>
      <w:lvlText w:val="-"/>
      <w:lvlJc w:val="left"/>
      <w:pPr>
        <w:ind w:left="720" w:hanging="360"/>
      </w:pPr>
      <w:rPr>
        <w:rFonts w:ascii="OpenSymbol" w:hAnsi="OpenSymbol" w:cs="OpenSymbol" w:hint="default"/>
        <w:rFonts w:cs="OpenSymbol, 'Arial Unicode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6">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7">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916"/>
        </w:tabs>
        <w:ind w:left="916" w:hanging="360"/>
      </w:pPr>
      <w:rPr/>
    </w:lvl>
    <w:lvl w:ilvl="1">
      <w:start w:val="1"/>
      <w:numFmt w:val="decimal"/>
      <w:lvlText w:val="%2."/>
      <w:lvlJc w:val="left"/>
      <w:pPr>
        <w:tabs>
          <w:tab w:val="num" w:pos="1276"/>
        </w:tabs>
        <w:ind w:left="1276" w:hanging="360"/>
      </w:pPr>
      <w:rPr/>
    </w:lvl>
    <w:lvl w:ilvl="2">
      <w:start w:val="1"/>
      <w:numFmt w:val="decimal"/>
      <w:lvlText w:val="%3."/>
      <w:lvlJc w:val="left"/>
      <w:pPr>
        <w:tabs>
          <w:tab w:val="num" w:pos="1636"/>
        </w:tabs>
        <w:ind w:left="1636" w:hanging="360"/>
      </w:pPr>
      <w:rPr/>
    </w:lvl>
    <w:lvl w:ilvl="3">
      <w:start w:val="1"/>
      <w:numFmt w:val="decimal"/>
      <w:lvlText w:val="%4."/>
      <w:lvlJc w:val="left"/>
      <w:pPr>
        <w:tabs>
          <w:tab w:val="num" w:pos="1996"/>
        </w:tabs>
        <w:ind w:left="1996" w:hanging="360"/>
      </w:pPr>
      <w:rPr/>
    </w:lvl>
    <w:lvl w:ilvl="4">
      <w:start w:val="1"/>
      <w:numFmt w:val="decimal"/>
      <w:lvlText w:val="%5."/>
      <w:lvlJc w:val="left"/>
      <w:pPr>
        <w:tabs>
          <w:tab w:val="num" w:pos="2356"/>
        </w:tabs>
        <w:ind w:left="2356" w:hanging="360"/>
      </w:pPr>
      <w:rPr/>
    </w:lvl>
    <w:lvl w:ilvl="5">
      <w:start w:val="1"/>
      <w:numFmt w:val="decimal"/>
      <w:lvlText w:val="%6."/>
      <w:lvlJc w:val="left"/>
      <w:pPr>
        <w:tabs>
          <w:tab w:val="num" w:pos="2716"/>
        </w:tabs>
        <w:ind w:left="2716" w:hanging="360"/>
      </w:pPr>
      <w:rPr/>
    </w:lvl>
    <w:lvl w:ilvl="6">
      <w:start w:val="1"/>
      <w:numFmt w:val="decimal"/>
      <w:lvlText w:val="%7."/>
      <w:lvlJc w:val="left"/>
      <w:pPr>
        <w:tabs>
          <w:tab w:val="num" w:pos="3076"/>
        </w:tabs>
        <w:ind w:left="3076" w:hanging="360"/>
      </w:pPr>
      <w:rPr/>
    </w:lvl>
    <w:lvl w:ilvl="7">
      <w:start w:val="1"/>
      <w:numFmt w:val="decimal"/>
      <w:lvlText w:val="%8."/>
      <w:lvlJc w:val="left"/>
      <w:pPr>
        <w:tabs>
          <w:tab w:val="num" w:pos="3436"/>
        </w:tabs>
        <w:ind w:left="3436" w:hanging="360"/>
      </w:pPr>
      <w:rPr/>
    </w:lvl>
    <w:lvl w:ilvl="8">
      <w:start w:val="1"/>
      <w:numFmt w:val="decimal"/>
      <w:lvlText w:val="%9."/>
      <w:lvlJc w:val="left"/>
      <w:pPr>
        <w:tabs>
          <w:tab w:val="num" w:pos="3796"/>
        </w:tabs>
        <w:ind w:left="3796" w:hanging="360"/>
      </w:pPr>
      <w:rPr/>
    </w:lvl>
  </w:abstractNum>
  <w:abstractNum w:abstractNumId="9">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096"/>
        </w:tabs>
        <w:ind w:left="1096" w:hanging="360"/>
      </w:pPr>
      <w:rPr>
        <w:rFonts w:ascii="Symbol" w:hAnsi="Symbol" w:cs="Symbol" w:hint="default"/>
        <w:rFonts w:cs="OpenSymbol"/>
      </w:rPr>
    </w:lvl>
    <w:lvl w:ilvl="1">
      <w:start w:val="1"/>
      <w:numFmt w:val="bullet"/>
      <w:lvlText w:val="◦"/>
      <w:lvlJc w:val="left"/>
      <w:pPr>
        <w:tabs>
          <w:tab w:val="num" w:pos="1456"/>
        </w:tabs>
        <w:ind w:left="1456" w:hanging="360"/>
      </w:pPr>
      <w:rPr>
        <w:rFonts w:ascii="OpenSymbol" w:hAnsi="OpenSymbol" w:cs="OpenSymbol" w:hint="default"/>
        <w:rFonts w:cs="OpenSymbol"/>
      </w:rPr>
    </w:lvl>
    <w:lvl w:ilvl="2">
      <w:start w:val="1"/>
      <w:numFmt w:val="bullet"/>
      <w:lvlText w:val="▪"/>
      <w:lvlJc w:val="left"/>
      <w:pPr>
        <w:tabs>
          <w:tab w:val="num" w:pos="1816"/>
        </w:tabs>
        <w:ind w:left="1816" w:hanging="360"/>
      </w:pPr>
      <w:rPr>
        <w:rFonts w:ascii="OpenSymbol" w:hAnsi="OpenSymbol" w:cs="OpenSymbol" w:hint="default"/>
        <w:rFonts w:cs="OpenSymbol"/>
      </w:rPr>
    </w:lvl>
    <w:lvl w:ilvl="3">
      <w:start w:val="1"/>
      <w:numFmt w:val="bullet"/>
      <w:lvlText w:val=""/>
      <w:lvlJc w:val="left"/>
      <w:pPr>
        <w:tabs>
          <w:tab w:val="num" w:pos="2176"/>
        </w:tabs>
        <w:ind w:left="2176" w:hanging="360"/>
      </w:pPr>
      <w:rPr>
        <w:rFonts w:ascii="Symbol" w:hAnsi="Symbol" w:cs="Symbol" w:hint="default"/>
        <w:rFonts w:cs="OpenSymbol"/>
      </w:rPr>
    </w:lvl>
    <w:lvl w:ilvl="4">
      <w:start w:val="1"/>
      <w:numFmt w:val="bullet"/>
      <w:lvlText w:val="◦"/>
      <w:lvlJc w:val="left"/>
      <w:pPr>
        <w:tabs>
          <w:tab w:val="num" w:pos="2536"/>
        </w:tabs>
        <w:ind w:left="2536" w:hanging="360"/>
      </w:pPr>
      <w:rPr>
        <w:rFonts w:ascii="OpenSymbol" w:hAnsi="OpenSymbol" w:cs="OpenSymbol" w:hint="default"/>
        <w:rFonts w:cs="OpenSymbol"/>
      </w:rPr>
    </w:lvl>
    <w:lvl w:ilvl="5">
      <w:start w:val="1"/>
      <w:numFmt w:val="bullet"/>
      <w:lvlText w:val="▪"/>
      <w:lvlJc w:val="left"/>
      <w:pPr>
        <w:tabs>
          <w:tab w:val="num" w:pos="2896"/>
        </w:tabs>
        <w:ind w:left="2896" w:hanging="360"/>
      </w:pPr>
      <w:rPr>
        <w:rFonts w:ascii="OpenSymbol" w:hAnsi="OpenSymbol" w:cs="OpenSymbol" w:hint="default"/>
        <w:rFonts w:cs="OpenSymbol"/>
      </w:rPr>
    </w:lvl>
    <w:lvl w:ilvl="6">
      <w:start w:val="1"/>
      <w:numFmt w:val="bullet"/>
      <w:lvlText w:val=""/>
      <w:lvlJc w:val="left"/>
      <w:pPr>
        <w:tabs>
          <w:tab w:val="num" w:pos="3256"/>
        </w:tabs>
        <w:ind w:left="3256" w:hanging="360"/>
      </w:pPr>
      <w:rPr>
        <w:rFonts w:ascii="Symbol" w:hAnsi="Symbol" w:cs="Symbol" w:hint="default"/>
        <w:rFonts w:cs="OpenSymbol"/>
      </w:rPr>
    </w:lvl>
    <w:lvl w:ilvl="7">
      <w:start w:val="1"/>
      <w:numFmt w:val="bullet"/>
      <w:lvlText w:val="◦"/>
      <w:lvlJc w:val="left"/>
      <w:pPr>
        <w:tabs>
          <w:tab w:val="num" w:pos="3616"/>
        </w:tabs>
        <w:ind w:left="3616" w:hanging="360"/>
      </w:pPr>
      <w:rPr>
        <w:rFonts w:ascii="OpenSymbol" w:hAnsi="OpenSymbol" w:cs="OpenSymbol" w:hint="default"/>
        <w:rFonts w:cs="OpenSymbol"/>
      </w:rPr>
    </w:lvl>
    <w:lvl w:ilvl="8">
      <w:start w:val="1"/>
      <w:numFmt w:val="bullet"/>
      <w:lvlText w:val="▪"/>
      <w:lvlJc w:val="left"/>
      <w:pPr>
        <w:tabs>
          <w:tab w:val="num" w:pos="3976"/>
        </w:tabs>
        <w:ind w:left="3976" w:hanging="360"/>
      </w:pPr>
      <w:rPr>
        <w:rFonts w:ascii="OpenSymbol" w:hAnsi="OpenSymbol" w:cs="OpenSymbol" w:hint="default"/>
        <w:rFonts w:cs="OpenSymbol"/>
      </w:rPr>
    </w:lvl>
  </w:abstractNum>
  <w:abstractNum w:abstractNumId="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4">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5">
    <w:lvl w:ilvl="0">
      <w:start w:val="1"/>
      <w:numFmt w:val="bullet"/>
      <w:lvlText w:val=""/>
      <w:lvlJc w:val="left"/>
      <w:pPr>
        <w:tabs>
          <w:tab w:val="num" w:pos="736"/>
        </w:tabs>
        <w:ind w:left="736" w:hanging="360"/>
      </w:pPr>
      <w:rPr>
        <w:rFonts w:ascii="Symbol" w:hAnsi="Symbol" w:cs="Symbol" w:hint="default"/>
        <w:rFonts w:cs="OpenSymbol"/>
      </w:rPr>
    </w:lvl>
    <w:lvl w:ilvl="1">
      <w:start w:val="1"/>
      <w:numFmt w:val="bullet"/>
      <w:lvlText w:val="◦"/>
      <w:lvlJc w:val="left"/>
      <w:pPr>
        <w:tabs>
          <w:tab w:val="num" w:pos="1096"/>
        </w:tabs>
        <w:ind w:left="1096" w:hanging="360"/>
      </w:pPr>
      <w:rPr>
        <w:rFonts w:ascii="OpenSymbol" w:hAnsi="OpenSymbol" w:cs="OpenSymbol" w:hint="default"/>
        <w:rFonts w:cs="OpenSymbol"/>
      </w:rPr>
    </w:lvl>
    <w:lvl w:ilvl="2">
      <w:start w:val="1"/>
      <w:numFmt w:val="bullet"/>
      <w:lvlText w:val="▪"/>
      <w:lvlJc w:val="left"/>
      <w:pPr>
        <w:tabs>
          <w:tab w:val="num" w:pos="1456"/>
        </w:tabs>
        <w:ind w:left="1456" w:hanging="360"/>
      </w:pPr>
      <w:rPr>
        <w:rFonts w:ascii="OpenSymbol" w:hAnsi="OpenSymbol" w:cs="OpenSymbol" w:hint="default"/>
        <w:rFonts w:cs="OpenSymbol"/>
      </w:rPr>
    </w:lvl>
    <w:lvl w:ilvl="3">
      <w:start w:val="1"/>
      <w:numFmt w:val="bullet"/>
      <w:lvlText w:val=""/>
      <w:lvlJc w:val="left"/>
      <w:pPr>
        <w:tabs>
          <w:tab w:val="num" w:pos="1816"/>
        </w:tabs>
        <w:ind w:left="1816" w:hanging="360"/>
      </w:pPr>
      <w:rPr>
        <w:rFonts w:ascii="Symbol" w:hAnsi="Symbol" w:cs="Symbol" w:hint="default"/>
        <w:rFonts w:cs="OpenSymbol"/>
      </w:rPr>
    </w:lvl>
    <w:lvl w:ilvl="4">
      <w:start w:val="1"/>
      <w:numFmt w:val="bullet"/>
      <w:lvlText w:val="◦"/>
      <w:lvlJc w:val="left"/>
      <w:pPr>
        <w:tabs>
          <w:tab w:val="num" w:pos="2176"/>
        </w:tabs>
        <w:ind w:left="2176" w:hanging="360"/>
      </w:pPr>
      <w:rPr>
        <w:rFonts w:ascii="OpenSymbol" w:hAnsi="OpenSymbol" w:cs="OpenSymbol" w:hint="default"/>
        <w:rFonts w:cs="OpenSymbol"/>
      </w:rPr>
    </w:lvl>
    <w:lvl w:ilvl="5">
      <w:start w:val="1"/>
      <w:numFmt w:val="bullet"/>
      <w:lvlText w:val="▪"/>
      <w:lvlJc w:val="left"/>
      <w:pPr>
        <w:tabs>
          <w:tab w:val="num" w:pos="2536"/>
        </w:tabs>
        <w:ind w:left="2536" w:hanging="360"/>
      </w:pPr>
      <w:rPr>
        <w:rFonts w:ascii="OpenSymbol" w:hAnsi="OpenSymbol" w:cs="OpenSymbol" w:hint="default"/>
        <w:rFonts w:cs="OpenSymbol"/>
      </w:rPr>
    </w:lvl>
    <w:lvl w:ilvl="6">
      <w:start w:val="1"/>
      <w:numFmt w:val="bullet"/>
      <w:lvlText w:val=""/>
      <w:lvlJc w:val="left"/>
      <w:pPr>
        <w:tabs>
          <w:tab w:val="num" w:pos="2896"/>
        </w:tabs>
        <w:ind w:left="2896" w:hanging="360"/>
      </w:pPr>
      <w:rPr>
        <w:rFonts w:ascii="Symbol" w:hAnsi="Symbol" w:cs="Symbol" w:hint="default"/>
        <w:rFonts w:cs="OpenSymbol"/>
      </w:rPr>
    </w:lvl>
    <w:lvl w:ilvl="7">
      <w:start w:val="1"/>
      <w:numFmt w:val="bullet"/>
      <w:lvlText w:val="◦"/>
      <w:lvlJc w:val="left"/>
      <w:pPr>
        <w:tabs>
          <w:tab w:val="num" w:pos="3256"/>
        </w:tabs>
        <w:ind w:left="3256" w:hanging="360"/>
      </w:pPr>
      <w:rPr>
        <w:rFonts w:ascii="OpenSymbol" w:hAnsi="OpenSymbol" w:cs="OpenSymbol" w:hint="default"/>
        <w:rFonts w:cs="OpenSymbol"/>
      </w:rPr>
    </w:lvl>
    <w:lvl w:ilvl="8">
      <w:start w:val="1"/>
      <w:numFmt w:val="bullet"/>
      <w:lvlText w:val="▪"/>
      <w:lvlJc w:val="left"/>
      <w:pPr>
        <w:tabs>
          <w:tab w:val="num" w:pos="3616"/>
        </w:tabs>
        <w:ind w:left="3616" w:hanging="360"/>
      </w:pPr>
      <w:rPr>
        <w:rFonts w:ascii="OpenSymbol" w:hAnsi="OpenSymbol" w:cs="OpenSymbol" w:hint="default"/>
        <w:rFonts w:cs="OpenSymbol"/>
      </w:rPr>
    </w:lvl>
  </w:abstractNum>
  <w:abstractNum w:abstractNumId="16">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jc w:val="left"/>
      <w:textAlignment w:val="baseline"/>
    </w:pPr>
    <w:rPr>
      <w:rFonts w:ascii="Liberation Serif" w:hAnsi="Liberation Serif" w:eastAsia="NSimSun" w:cs="Lucida Sans"/>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OpenSymbol, 'Arial Unicode MS'" w:hAnsi="OpenSymbol, 'Arial Unicode MS'" w:eastAsia="OpenSymbol, 'Arial Unicode MS'" w:cs="OpenSymbol, 'Arial Unicode MS'"/>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WW8Num1z3" w:customStyle="1">
    <w:name w:val="WW8Num1z3"/>
    <w:qFormat/>
    <w:rPr>
      <w:rFonts w:ascii="Symbol" w:hAnsi="Symbol" w:eastAsia="Symbol" w:cs="Symbol"/>
    </w:rPr>
  </w:style>
  <w:style w:type="character" w:styleId="WW8Num2z0" w:customStyle="1">
    <w:name w:val="WW8Num2z0"/>
    <w:qFormat/>
    <w:rPr>
      <w:rFonts w:ascii="OpenSymbol, 'Arial Unicode MS'" w:hAnsi="OpenSymbol, 'Arial Unicode MS'" w:eastAsia="OpenSymbol, 'Arial Unicode MS'" w:cs="OpenSymbol, 'Arial Unicode MS'"/>
    </w:rPr>
  </w:style>
  <w:style w:type="character" w:styleId="WW8Num2z1" w:customStyle="1">
    <w:name w:val="WW8Num2z1"/>
    <w:qFormat/>
    <w:rPr>
      <w:rFonts w:cs="Times New Roman"/>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TekstdymkaZnak" w:customStyle="1">
    <w:name w:val="Tekst dymka Znak"/>
    <w:basedOn w:val="DefaultParagraphFont"/>
    <w:qFormat/>
    <w:rPr>
      <w:rFonts w:ascii="Segoe UI" w:hAnsi="Segoe UI" w:eastAsia="Segoe UI" w:cs="Segoe UI"/>
      <w:sz w:val="18"/>
    </w:rPr>
  </w:style>
  <w:style w:type="character" w:styleId="Mocnowyrniony" w:customStyle="1">
    <w:name w:val="Mocno wyróżniony"/>
    <w:qFormat/>
    <w:rPr>
      <w:b/>
      <w:bCs/>
    </w:rPr>
  </w:style>
  <w:style w:type="character" w:styleId="ListLabel1" w:customStyle="1">
    <w:name w:val="ListLabel 1"/>
    <w:qFormat/>
    <w:rPr>
      <w:rFonts w:eastAsia="Times New Roman"/>
    </w:rPr>
  </w:style>
  <w:style w:type="character" w:styleId="ListLabel2" w:customStyle="1">
    <w:name w:val="ListLabel 2"/>
    <w:qFormat/>
    <w:rPr>
      <w:rFonts w:cs="Times New Roman"/>
    </w:rPr>
  </w:style>
  <w:style w:type="character" w:styleId="ListLabel3">
    <w:name w:val="ListLabel 3"/>
    <w:qFormat/>
    <w:rPr>
      <w:rFonts w:ascii="Arial Narrow" w:hAnsi="Arial Narrow" w:cs="OpenSymbol, 'Arial Unicode MS'"/>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ascii="Arial Narrow" w:hAnsi="Arial Narrow" w:cs="OpenSymbol, 'Arial Unicode MS'"/>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ascii="Arial Narrow" w:hAnsi="Arial Narrow" w:cs="OpenSymbol, 'Arial Unicode MS'"/>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ascii="Arial Narrow" w:hAnsi="Arial Narrow" w:cs="OpenSymbol, 'Arial Unicode MS'"/>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customStyle="1">
    <w:name w:val="Nagłówek"/>
    <w:basedOn w:val="Standard"/>
    <w:next w:val="Textbody"/>
    <w:qFormat/>
    <w:pPr>
      <w:keepNext w:val="true"/>
      <w:spacing w:before="240" w:after="120"/>
    </w:pPr>
    <w:rPr>
      <w:rFonts w:ascii="Arial" w:hAnsi="Arial"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extbody"/>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Standard"/>
    <w:qFormat/>
    <w:pPr>
      <w:suppressLineNumbers/>
    </w:pPr>
    <w:rPr>
      <w:rFonts w:cs="Mangal"/>
    </w:rPr>
  </w:style>
  <w:style w:type="paragraph" w:styleId="Standard" w:customStyle="1">
    <w:name w:val="Standard"/>
    <w:qFormat/>
    <w:pPr>
      <w:widowControl/>
      <w:suppressAutoHyphens w:val="true"/>
      <w:bidi w:val="0"/>
      <w:spacing w:lineRule="auto" w:line="242" w:before="0" w:after="160"/>
      <w:jc w:val="left"/>
      <w:textAlignment w:val="baseline"/>
    </w:pPr>
    <w:rPr>
      <w:rFonts w:ascii="Calibri" w:hAnsi="Calibri" w:eastAsia="Calibri" w:cs="Times New Roman"/>
      <w:color w:val="auto"/>
      <w:kern w:val="2"/>
      <w:sz w:val="22"/>
      <w:szCs w:val="22"/>
      <w:lang w:eastAsia="en-US" w:bidi="ar-SA" w:val="pl-PL"/>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sz w:val="24"/>
      <w:szCs w:val="24"/>
    </w:rPr>
  </w:style>
  <w:style w:type="paragraph" w:styleId="ListParagraph">
    <w:name w:val="List Paragraph"/>
    <w:basedOn w:val="Standard"/>
    <w:qFormat/>
    <w:pPr>
      <w:ind w:left="720" w:hanging="0"/>
    </w:pPr>
    <w:rPr/>
  </w:style>
  <w:style w:type="paragraph" w:styleId="BalloonText">
    <w:name w:val="Balloon Text"/>
    <w:basedOn w:val="Standard"/>
    <w:qFormat/>
    <w:pPr>
      <w:spacing w:lineRule="atLeast" w:line="100" w:before="0" w:after="0"/>
    </w:pPr>
    <w:rPr>
      <w:rFonts w:ascii="Segoe UI" w:hAnsi="Segoe UI" w:eastAsia="Segoe UI" w:cs="Segoe UI"/>
      <w:sz w:val="18"/>
      <w:szCs w:val="18"/>
    </w:rPr>
  </w:style>
  <w:style w:type="paragraph" w:styleId="Zawartotabeli" w:customStyle="1">
    <w:name w:val="Zawartość tabeli"/>
    <w:basedOn w:val="Standard"/>
    <w:qFormat/>
    <w:pPr>
      <w:suppressLineNumbers/>
    </w:pPr>
    <w:rPr/>
  </w:style>
  <w:style w:type="paragraph" w:styleId="Nagwektabeli" w:customStyle="1">
    <w:name w:val="Nagłówek tabeli"/>
    <w:basedOn w:val="Zawartotabeli"/>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Application>LibreOffice/6.2.3.2$Windows_x86 LibreOffice_project/aecc05fe267cc68dde00352a451aa867b3b546ac</Application>
  <Pages>11</Pages>
  <Words>3366</Words>
  <Characters>21656</Characters>
  <CharactersWithSpaces>24655</CharactersWithSpaces>
  <Paragraphs>406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2020-02-28T09:44:00Z</dcterms:created>
  <dc:creator>Marta Luczkowska</dc:creator>
  <dc:description/>
  <cp:keywords>Informacja dodatkowa</cp:keywords>
  <dc:language>pl-PL</dc:language>
  <cp:lastModifiedBy/>
  <cp:lastPrinted>2020-02-28T09:47:00Z</cp:lastPrinted>
  <dcterms:modified xsi:type="dcterms:W3CDTF">2025-05-06T11:32:11Z</dcterms:modified>
  <cp:revision>5</cp:revision>
  <dc:subject/>
  <dc:title>PP8 INFORMACJA DODATKOWA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