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Włocławek, dnia 12.12.2023 r.</w:t>
      </w:r>
    </w:p>
    <w:p>
      <w:pPr>
        <w:pStyle w:val="Default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Zapytanie ofertowe w sprawie udzielenia zamówienia publicznego </w:t>
      </w:r>
      <w:r>
        <w:rPr>
          <w:rFonts w:eastAsia="Times New Roman" w:cs="Times New Roman" w:ascii="Arial" w:hAnsi="Arial"/>
          <w:b/>
          <w:bCs/>
          <w:color w:val="auto"/>
          <w:kern w:val="2"/>
          <w:sz w:val="24"/>
          <w:szCs w:val="24"/>
          <w:lang w:eastAsia="pl-PL"/>
        </w:rPr>
        <w:t>o wartości nieprzekraczającej 130 tysięcy złotych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left"/>
        <w:outlineLvl w:val="0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i/>
          <w:sz w:val="24"/>
          <w:szCs w:val="24"/>
        </w:rPr>
        <w:t xml:space="preserve">(Na podstawie </w:t>
      </w:r>
      <w:r>
        <w:rPr>
          <w:rFonts w:eastAsia="Times New Roman" w:cs="Times New Roman" w:ascii="Arial" w:hAnsi="Arial"/>
          <w:bCs/>
          <w:i/>
          <w:kern w:val="2"/>
          <w:sz w:val="24"/>
          <w:szCs w:val="24"/>
          <w:lang w:eastAsia="pl-PL"/>
        </w:rPr>
        <w:t xml:space="preserve">Zarządzenia nr 15/2022 </w:t>
      </w:r>
      <w:r>
        <w:rPr>
          <w:rFonts w:ascii="Arial" w:hAnsi="Arial"/>
          <w:i/>
          <w:sz w:val="24"/>
          <w:szCs w:val="24"/>
        </w:rPr>
        <w:t>Dyrektora Centrum Usług Wspólnych Placówek Oświatowych we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 xml:space="preserve"> </w:t>
      </w:r>
      <w:r>
        <w:rPr>
          <w:rFonts w:ascii="Arial" w:hAnsi="Arial"/>
          <w:i/>
          <w:sz w:val="24"/>
          <w:szCs w:val="24"/>
        </w:rPr>
        <w:t>Włocławku z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 xml:space="preserve"> </w:t>
      </w:r>
      <w:r>
        <w:rPr>
          <w:rFonts w:ascii="Arial" w:hAnsi="Arial"/>
          <w:i/>
          <w:sz w:val="24"/>
          <w:szCs w:val="24"/>
        </w:rPr>
        <w:t>dnia 6 grudnia 2022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 xml:space="preserve"> </w:t>
      </w:r>
      <w:r>
        <w:rPr>
          <w:rFonts w:ascii="Arial" w:hAnsi="Arial"/>
          <w:i/>
          <w:sz w:val="24"/>
          <w:szCs w:val="24"/>
        </w:rPr>
        <w:t xml:space="preserve">r. </w:t>
      </w:r>
      <w:r>
        <w:rPr>
          <w:rFonts w:eastAsia="Times New Roman" w:cs="Times New Roman" w:ascii="Arial" w:hAnsi="Arial"/>
          <w:bCs/>
          <w:i/>
          <w:kern w:val="2"/>
          <w:sz w:val="24"/>
          <w:szCs w:val="24"/>
          <w:lang w:eastAsia="pl-PL"/>
        </w:rPr>
        <w:t>w sprawie udzielania zamówień publicznych o wartości nieprzekraczającej 130 tysięcy złotych</w:t>
      </w:r>
      <w:r>
        <w:rPr>
          <w:rFonts w:ascii="Arial" w:hAnsi="Arial"/>
          <w:i/>
          <w:sz w:val="24"/>
          <w:szCs w:val="24"/>
        </w:rPr>
        <w:t>).</w:t>
      </w:r>
    </w:p>
    <w:p>
      <w:pPr>
        <w:pStyle w:val="Default"/>
        <w:spacing w:lineRule="auto" w:line="276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>I. Nazwa i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lang w:eastAsia="pl-PL"/>
        </w:rPr>
        <w:t xml:space="preserve"> </w:t>
      </w:r>
      <w:r>
        <w:rPr>
          <w:rFonts w:ascii="Arial" w:hAnsi="Arial"/>
          <w:b/>
          <w:bCs/>
          <w:color w:val="auto"/>
          <w:sz w:val="24"/>
          <w:szCs w:val="24"/>
        </w:rPr>
        <w:t>adres zamawiającego:</w:t>
      </w:r>
    </w:p>
    <w:p>
      <w:pPr>
        <w:pStyle w:val="Default"/>
        <w:ind w:firstLine="426"/>
        <w:jc w:val="left"/>
        <w:rPr>
          <w:rFonts w:ascii="Arial Narrow" w:hAnsi="Arial Narrow"/>
          <w:color w:val="auto"/>
          <w:sz w:val="22"/>
          <w:szCs w:val="22"/>
        </w:rPr>
      </w:pPr>
      <w:r>
        <w:rPr>
          <w:rFonts w:ascii="Arial" w:hAnsi="Arial"/>
          <w:color w:val="auto"/>
          <w:sz w:val="24"/>
          <w:szCs w:val="24"/>
        </w:rPr>
        <w:t>Centrum Usług Wspólnych</w:t>
      </w:r>
    </w:p>
    <w:p>
      <w:pPr>
        <w:pStyle w:val="Default"/>
        <w:ind w:left="708" w:hanging="282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Placówek Oświatowych we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 xml:space="preserve"> </w:t>
      </w:r>
      <w:r>
        <w:rPr>
          <w:rFonts w:ascii="Arial" w:hAnsi="Arial"/>
          <w:color w:val="auto"/>
          <w:sz w:val="24"/>
          <w:szCs w:val="24"/>
        </w:rPr>
        <w:t>Włocławku</w:t>
      </w:r>
    </w:p>
    <w:p>
      <w:pPr>
        <w:pStyle w:val="Default"/>
        <w:ind w:left="708" w:hanging="282"/>
        <w:jc w:val="left"/>
        <w:rPr>
          <w:rFonts w:ascii="Arial Narrow" w:hAnsi="Arial Narrow"/>
          <w:color w:val="auto"/>
          <w:sz w:val="22"/>
          <w:szCs w:val="22"/>
        </w:rPr>
      </w:pPr>
      <w:r>
        <w:rPr>
          <w:rFonts w:ascii="Arial" w:hAnsi="Arial"/>
          <w:color w:val="auto"/>
          <w:sz w:val="24"/>
          <w:szCs w:val="24"/>
        </w:rPr>
        <w:t>ul.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Wojska Polskiego 27</w:t>
      </w:r>
    </w:p>
    <w:p>
      <w:pPr>
        <w:pStyle w:val="Default"/>
        <w:ind w:left="708" w:hanging="282"/>
        <w:jc w:val="left"/>
        <w:rPr>
          <w:rFonts w:ascii="Arial Narrow" w:hAnsi="Arial Narrow"/>
          <w:color w:val="auto"/>
          <w:sz w:val="22"/>
          <w:szCs w:val="22"/>
        </w:rPr>
      </w:pPr>
      <w:r>
        <w:rPr>
          <w:rFonts w:ascii="Arial" w:hAnsi="Arial"/>
          <w:color w:val="auto"/>
          <w:sz w:val="24"/>
          <w:szCs w:val="24"/>
        </w:rPr>
        <w:t>87-800 Włocławek</w:t>
      </w:r>
    </w:p>
    <w:p>
      <w:pPr>
        <w:pStyle w:val="Default"/>
        <w:spacing w:lineRule="auto" w:line="276" w:before="240" w:after="0"/>
        <w:jc w:val="left"/>
        <w:rPr>
          <w:rFonts w:ascii="Arial Narrow" w:hAnsi="Arial Narrow"/>
          <w:color w:val="auto"/>
          <w:sz w:val="22"/>
          <w:szCs w:val="22"/>
        </w:rPr>
      </w:pPr>
      <w:r>
        <w:rPr>
          <w:rFonts w:ascii="Arial" w:hAnsi="Arial"/>
          <w:b/>
          <w:bCs/>
          <w:color w:val="auto"/>
          <w:sz w:val="24"/>
          <w:szCs w:val="24"/>
        </w:rPr>
        <w:t>II. Opis przedmiotu zamówienia:</w:t>
      </w:r>
    </w:p>
    <w:p>
      <w:pPr>
        <w:pStyle w:val="NoSpacing"/>
        <w:ind w:left="426" w:hanging="0"/>
        <w:jc w:val="left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>Przedmiotem zamówienia jest – zapewnienie dostępności oraz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 xml:space="preserve">ciągłości działania platformy edukacyjnej dla </w:t>
      </w:r>
      <w:r>
        <w:rPr>
          <w:rFonts w:ascii="Arial" w:hAnsi="Arial"/>
          <w:sz w:val="24"/>
          <w:szCs w:val="24"/>
        </w:rPr>
        <w:t>Centrum Usług Wspólnych Placówek Oświatowych we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 xml:space="preserve"> </w:t>
      </w:r>
      <w:r>
        <w:rPr>
          <w:rFonts w:ascii="Arial" w:hAnsi="Arial"/>
          <w:sz w:val="24"/>
          <w:szCs w:val="24"/>
        </w:rPr>
        <w:t>Włocławku w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zakresie:</w:t>
      </w:r>
    </w:p>
    <w:p>
      <w:pPr>
        <w:pStyle w:val="NoSpacing"/>
        <w:numPr>
          <w:ilvl w:val="0"/>
          <w:numId w:val="1"/>
        </w:numPr>
        <w:ind w:left="993" w:hanging="360"/>
        <w:jc w:val="left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 xml:space="preserve">aplikacji </w:t>
      </w:r>
      <w:r>
        <w:rPr>
          <w:rFonts w:ascii="Arial" w:hAnsi="Arial"/>
          <w:sz w:val="24"/>
          <w:szCs w:val="24"/>
        </w:rPr>
        <w:t>finansowo-księgowej opisanej w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punkcie 1 – w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okresie od 01.02.2024 do 31.01.2025 roku,</w:t>
      </w:r>
    </w:p>
    <w:p>
      <w:pPr>
        <w:pStyle w:val="NoSpacing"/>
        <w:numPr>
          <w:ilvl w:val="0"/>
          <w:numId w:val="1"/>
        </w:numPr>
        <w:ind w:left="993" w:hanging="360"/>
        <w:jc w:val="left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>aplikacji</w:t>
      </w:r>
      <w:r>
        <w:rPr>
          <w:rFonts w:ascii="Arial" w:hAnsi="Arial"/>
          <w:sz w:val="24"/>
          <w:szCs w:val="24"/>
        </w:rPr>
        <w:t xml:space="preserve"> kadrowej i płacowej opisanej w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punkcie 2 – w okresie od 01.07.2024 do 31.06.2025 roku,</w:t>
      </w:r>
    </w:p>
    <w:p>
      <w:pPr>
        <w:pStyle w:val="NoSpacing"/>
        <w:numPr>
          <w:ilvl w:val="0"/>
          <w:numId w:val="1"/>
        </w:numPr>
        <w:ind w:left="993" w:hanging="360"/>
        <w:jc w:val="left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>aplikacji</w:t>
      </w:r>
      <w:r>
        <w:rPr>
          <w:rFonts w:ascii="Arial" w:hAnsi="Arial"/>
          <w:sz w:val="24"/>
          <w:szCs w:val="24"/>
        </w:rPr>
        <w:t xml:space="preserve"> Jednorazowy Dodatek Uzupełniający (zgodnie z art. 30a Karty Nauczyciela) opisanej w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punkcie 3 – w okresie od 01.03.2024 do 29.02.2025 roku.</w:t>
      </w:r>
    </w:p>
    <w:p>
      <w:pPr>
        <w:pStyle w:val="NoSpacing"/>
        <w:spacing w:lineRule="auto" w:line="360"/>
        <w:ind w:left="426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Aplikacje wchodzące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skład platformy edukacyjnej:</w:t>
      </w:r>
    </w:p>
    <w:p>
      <w:pPr>
        <w:pStyle w:val="NoSpacing"/>
        <w:numPr>
          <w:ilvl w:val="0"/>
          <w:numId w:val="2"/>
        </w:numPr>
        <w:ind w:left="720" w:hanging="436"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>System finansowo-księgowy</w:t>
      </w:r>
    </w:p>
    <w:p>
      <w:pPr>
        <w:pStyle w:val="NoSpacing"/>
        <w:ind w:left="426" w:hanging="0"/>
        <w:jc w:val="left"/>
        <w:rPr/>
      </w:pPr>
      <w:r>
        <w:rPr>
          <w:rFonts w:ascii="Arial" w:hAnsi="Arial"/>
          <w:sz w:val="24"/>
          <w:szCs w:val="24"/>
        </w:rPr>
        <w:t>System funkcjonujący zgodnie z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ustawą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rachunkowości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uwzględnieniem specyfiki jednostek oświatowych do zarządzania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obsługi finansowo-księgowej. Wspomaga zarządzanie finansami, sprawozdawczość budżetową i finansową, a także umożliwia szczegółową analizę danych i zwiększenie kontroli finansowej. Umożliwia prowadzenie rozrachunków jednostek oświatowych wraz z bieżącą kontrolą należności i zobowiązań, wraz z podstawową windykacją należności. Pozwala na obsługę obrotu gotówkowego w zakresie wielu niezależnych kas, a także na podstawie wprowadzonych dokumentów sprzedaży i zakupu – prowadzenie cząstkowego rejestru VAT.</w:t>
      </w:r>
    </w:p>
    <w:p>
      <w:pPr>
        <w:pStyle w:val="NoSpacing"/>
        <w:ind w:firstLine="426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System:</w:t>
      </w:r>
    </w:p>
    <w:p>
      <w:pPr>
        <w:pStyle w:val="NoSpacing"/>
        <w:numPr>
          <w:ilvl w:val="0"/>
          <w:numId w:val="3"/>
        </w:numPr>
        <w:jc w:val="left"/>
        <w:rPr>
          <w:rFonts w:ascii="Arial Narrow" w:hAnsi="Arial Narrow" w:eastAsia="" w:eastAsiaTheme="minorEastAsia"/>
        </w:rPr>
      </w:pPr>
      <w:r>
        <w:rPr>
          <w:rFonts w:eastAsia="" w:ascii="Arial" w:hAnsi="Arial" w:eastAsiaTheme="minorEastAsia"/>
          <w:sz w:val="24"/>
          <w:szCs w:val="24"/>
        </w:rPr>
        <w:t>posiada jedną centralną bazę, dostępną przez Internet dla wszystkich podległych 48 jednostek;</w:t>
      </w:r>
    </w:p>
    <w:p>
      <w:pPr>
        <w:pStyle w:val="NoSpacing"/>
        <w:numPr>
          <w:ilvl w:val="0"/>
          <w:numId w:val="3"/>
        </w:numPr>
        <w:jc w:val="left"/>
        <w:rPr>
          <w:rFonts w:ascii="Arial Narrow" w:hAnsi="Arial Narrow" w:eastAsia="" w:eastAsiaTheme="minorEastAsia"/>
        </w:rPr>
      </w:pPr>
      <w:r>
        <w:rPr>
          <w:rFonts w:eastAsia="" w:ascii="Arial" w:hAnsi="Arial" w:eastAsiaTheme="minorEastAsia"/>
          <w:sz w:val="24"/>
          <w:szCs w:val="24"/>
        </w:rPr>
        <w:t>wspólna baza gromadzi dane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ascii="Arial" w:hAnsi="Arial" w:eastAsiaTheme="minorEastAsia"/>
          <w:sz w:val="24"/>
          <w:szCs w:val="24"/>
        </w:rPr>
        <w:t>wszystkich 49 jednostkach oświatowych, klasyfikacji budżetowej i zadaniach. Dane te są pobierane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ascii="Arial" w:hAnsi="Arial" w:eastAsiaTheme="minorEastAsia"/>
          <w:sz w:val="24"/>
          <w:szCs w:val="24"/>
        </w:rPr>
        <w:t>jednego miejsca do wszystkich słowników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ascii="Arial" w:hAnsi="Arial" w:eastAsiaTheme="minorEastAsia"/>
          <w:sz w:val="24"/>
          <w:szCs w:val="24"/>
        </w:rPr>
        <w:t>systemie;</w:t>
      </w:r>
    </w:p>
    <w:p>
      <w:pPr>
        <w:pStyle w:val="Wypunktowanie1NV"/>
        <w:numPr>
          <w:ilvl w:val="0"/>
          <w:numId w:val="3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plan kont ogranicza się do operacji gospodarczych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nie zawiera danych o kontrahentach, klasyfikacji budżetowej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zadaniach.</w:t>
      </w:r>
    </w:p>
    <w:p>
      <w:pPr>
        <w:pStyle w:val="Wypunktowanie1NV"/>
        <w:numPr>
          <w:ilvl w:val="0"/>
          <w:numId w:val="0"/>
        </w:numPr>
        <w:spacing w:before="0" w:after="0"/>
        <w:ind w:firstLine="426"/>
        <w:jc w:val="left"/>
        <w:rPr>
          <w:rStyle w:val="Normaltextrun"/>
          <w:rFonts w:ascii="Arial Narrow" w:hAnsi="Arial Narrow" w:eastAsia="Calibri" w:cs="Calibri"/>
          <w:color w:val="auto"/>
          <w:sz w:val="22"/>
        </w:rPr>
      </w:pPr>
      <w:r>
        <w:rPr>
          <w:rStyle w:val="Normaltextrun"/>
          <w:rFonts w:eastAsia="Calibri" w:cs="Calibri" w:ascii="Arial" w:hAnsi="Arial"/>
          <w:color w:val="auto"/>
          <w:sz w:val="24"/>
          <w:szCs w:val="24"/>
          <w:shd w:fill="FFFFFF" w:val="clear"/>
        </w:rPr>
        <w:t>System umożliwia: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Calibri" w:cs="Calibri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pobieranie danych kontrahentów automatycznie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systemu GUS;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automatyczne księgowanie dekretów płacowych na podstawie informacji z systemu płacowego;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oznaczanie statusów określających stan prac nad dokumentem (w trakcie opracowywania, gotowy);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zestawień obejmujących dane wszystkich jednostek, zgodnie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nadanymi prawami;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generowanie Jednolitych Plików Kontrolnych (KR, WB, FA, VAT);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drukowanie kilku dokumentów jednocześnie;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zapisywanie szablonów ustawień dla zestawień;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eastAsiaTheme="minorEastAsia"/>
          <w:color w:val="auto"/>
          <w:sz w:val="22"/>
        </w:rPr>
      </w:pPr>
      <w:r>
        <w:rPr>
          <w:rFonts w:eastAsia="" w:ascii="Arial" w:hAnsi="Arial" w:eastAsiaTheme="minorEastAsia"/>
          <w:color w:val="auto"/>
          <w:sz w:val="24"/>
          <w:szCs w:val="24"/>
        </w:rPr>
        <w:t xml:space="preserve">zdefiniowanie </w:t>
      </w:r>
      <w:r>
        <w:rPr>
          <w:rFonts w:ascii="Arial" w:hAnsi="Arial"/>
          <w:color w:val="auto"/>
          <w:sz w:val="24"/>
          <w:szCs w:val="24"/>
        </w:rPr>
        <w:t>globalnych definicji sprawozdań budżetowych, finansowych, a także wspólnego planu kont</w:t>
      </w:r>
      <w:r>
        <w:rPr>
          <w:rFonts w:eastAsia="" w:ascii="Arial" w:hAnsi="Arial" w:eastAsiaTheme="minorEastAsia"/>
          <w:color w:val="auto"/>
          <w:sz w:val="24"/>
          <w:szCs w:val="24"/>
        </w:rPr>
        <w:t>;</w:t>
      </w:r>
    </w:p>
    <w:p>
      <w:pPr>
        <w:pStyle w:val="Wypunktowanie1NV"/>
        <w:numPr>
          <w:ilvl w:val="0"/>
          <w:numId w:val="4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rejestrowanie czynności wykonywanych przez użytkowników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dzienniku zdarzeń.</w:t>
      </w:r>
    </w:p>
    <w:p>
      <w:pPr>
        <w:pStyle w:val="Nagwek5"/>
        <w:spacing w:lineRule="auto" w:line="240" w:before="0" w:after="0"/>
        <w:ind w:firstLine="426"/>
        <w:jc w:val="left"/>
        <w:rPr>
          <w:rFonts w:ascii="Arial Narrow" w:hAnsi="Arial Narrow"/>
          <w:color w:val="auto"/>
        </w:rPr>
      </w:pPr>
      <w:r>
        <w:rPr>
          <w:rStyle w:val="FontStyle44"/>
          <w:rFonts w:ascii="Arial" w:hAnsi="Arial"/>
          <w:color w:val="auto"/>
          <w:sz w:val="24"/>
          <w:szCs w:val="24"/>
        </w:rPr>
        <w:t>W </w:t>
      </w:r>
      <w:r>
        <w:rPr>
          <w:rFonts w:ascii="Arial" w:hAnsi="Arial"/>
          <w:color w:val="auto"/>
          <w:sz w:val="24"/>
          <w:szCs w:val="24"/>
        </w:rPr>
        <w:t>zakresie dotyczącym obsługi finansowo-księgowej:</w:t>
      </w:r>
    </w:p>
    <w:p>
      <w:pPr>
        <w:pStyle w:val="Nagwek5"/>
        <w:numPr>
          <w:ilvl w:val="0"/>
          <w:numId w:val="5"/>
        </w:numPr>
        <w:spacing w:lineRule="auto" w:line="240" w:before="0" w:after="0"/>
        <w:jc w:val="left"/>
        <w:rPr>
          <w:rFonts w:ascii="Arial Narrow" w:hAnsi="Arial Narrow"/>
          <w:color w:val="auto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modyfikowanie planu kont do własnych potrzeb (bez konieczności uwzględniania klasyfikacji budżetowej, zadania oraz kontrahenta), wraz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funkcją drukowania;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możliwość dekretacji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podziale na klasyfikację budżetową, kontrahenta, rodzaj planu i zadania;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dostęp do bazy kontrahentów ze wszystkich obszarów systemu;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niezależną numerację dokumentów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obrębie dziennika i automatyczną numerację dokumentów;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zamknięcia miesiąca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roku obrachunkowego;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dwustopniowe wprowadzanie dokumentów polegające na: zapisie w trybie możliwej modyfikacji, a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następnie ich księgowania;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kontrolę bilansowania się dokumentu;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automatyczne tworzenie dokumentu księgowego na podstawie planu finansowego, faktur, raportów kasowych, wyciągów bankowych, not księgowych, wraz z możliwością drukowania dokumentu księgowego i jego dekretacji;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możliwość sprawdzenia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poziomu dokumentu księgowego, danych dokumentów źródłowych (np. na fakturze zakupu);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automatyczne otwieranie nowego roku obrachunkowego (mechanizm tworzenia bilansu otwarcia, którego zapisy odpowiadają saldom kont w bilansie zamknięcia), wraz z możliwością przeglądania danych z kolejnych lat obrachunkowych;</w:t>
      </w:r>
    </w:p>
    <w:p>
      <w:pPr>
        <w:pStyle w:val="Wypunktowanie1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zestawień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wydruków (jednostkowo, zbiorczo, z wybranych jednostek):</w:t>
      </w:r>
    </w:p>
    <w:p>
      <w:pPr>
        <w:pStyle w:val="Wypunktowanie1NV"/>
        <w:numPr>
          <w:ilvl w:val="0"/>
          <w:numId w:val="30"/>
        </w:numPr>
        <w:spacing w:before="0" w:after="0"/>
        <w:ind w:left="1418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obrotów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sald oraz obrotów na koncie </w:t>
      </w:r>
      <w:r>
        <w:rPr>
          <w:rFonts w:ascii="Arial" w:hAnsi="Arial"/>
          <w:color w:val="auto"/>
          <w:sz w:val="24"/>
          <w:szCs w:val="24"/>
        </w:rPr>
        <w:t>(wraz z możliwością przejścia z zestawienia obrotów i sald do obrotów na koncie, a następnie do pozycji dokumentu),</w:t>
      </w:r>
    </w:p>
    <w:p>
      <w:pPr>
        <w:pStyle w:val="NoSpacing"/>
        <w:numPr>
          <w:ilvl w:val="0"/>
          <w:numId w:val="30"/>
        </w:numPr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kontrola realizacji planu,</w:t>
      </w:r>
    </w:p>
    <w:p>
      <w:pPr>
        <w:pStyle w:val="NoSpacing"/>
        <w:numPr>
          <w:ilvl w:val="0"/>
          <w:numId w:val="30"/>
        </w:numPr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sprawozdań budżetowych: Rb-27S, Rb-27ZZ, Rb-28S, RB-30s, Rb-34S, Rb-Z, Rb-N, Rb-50, Rb-UZ, wraz z eksportem do Besti@, a także Rb-23, Rb-27, Rb-28,</w:t>
      </w:r>
    </w:p>
    <w:p>
      <w:pPr>
        <w:pStyle w:val="NoSpacing"/>
        <w:numPr>
          <w:ilvl w:val="0"/>
          <w:numId w:val="30"/>
        </w:numPr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zestawień rozrachunkowych kontrahentów, sald i wezwań do zapłaty,</w:t>
      </w:r>
    </w:p>
    <w:p>
      <w:pPr>
        <w:pStyle w:val="NoSpacing"/>
        <w:numPr>
          <w:ilvl w:val="0"/>
          <w:numId w:val="30"/>
        </w:numPr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sprawozdań finansowych według rozporządzenia (bilans budżetowy rachunek zysków i strat (wariant porównawczy), zestawienie zmian w funduszu jednostki) z eksportem do Besti@, informacja dodatkowa do bilansu,</w:t>
      </w:r>
    </w:p>
    <w:p>
      <w:pPr>
        <w:pStyle w:val="NoSpacing"/>
        <w:numPr>
          <w:ilvl w:val="0"/>
          <w:numId w:val="30"/>
        </w:numPr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sprawozdań finansowych według załącznika nr 1 do ustawy (bilans, rachunek zysków i strat (wariant porównawczy)), wraz z zapisem roboczej wersji sprawozdań do pliku XML,</w:t>
      </w:r>
    </w:p>
    <w:p>
      <w:pPr>
        <w:pStyle w:val="NoSpacing"/>
        <w:numPr>
          <w:ilvl w:val="0"/>
          <w:numId w:val="30"/>
        </w:numPr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zestawień z dokumentów źródłowych, zamówień;</w:t>
      </w:r>
    </w:p>
    <w:p>
      <w:pPr>
        <w:pStyle w:val="Wypunktowanie2NV"/>
        <w:numPr>
          <w:ilvl w:val="0"/>
          <w:numId w:val="5"/>
        </w:numPr>
        <w:spacing w:before="0" w:after="0"/>
        <w:jc w:val="left"/>
        <w:rPr>
          <w:rFonts w:ascii="Arial Narrow" w:hAnsi="Arial Narrow" w:eastAsia="Calibri" w:cs="Calibri" w:eastAsiaTheme="minorHAnsi"/>
          <w:color w:val="000000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uwzględnianie wprowadzonych wstępnie dokumentów w analizie konta księgowego i analizie wydatków oraz podczas porównywania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planem budżetowym;</w:t>
      </w:r>
    </w:p>
    <w:p>
      <w:pPr>
        <w:pStyle w:val="Wypunktowanie2NV"/>
        <w:numPr>
          <w:ilvl w:val="0"/>
          <w:numId w:val="5"/>
        </w:numPr>
        <w:spacing w:before="0" w:after="0"/>
        <w:jc w:val="left"/>
        <w:rPr>
          <w:rFonts w:ascii="Arial Narrow" w:hAnsi="Arial Narrow" w:eastAsia="Calibri" w:cs="Calibri" w:eastAsiaTheme="minorHAnsi"/>
          <w:color w:val="000000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kontrolę realizacji wydatków na sprawozdaniu Rb-28S </w:t>
      </w:r>
      <w:r>
        <w:rPr>
          <w:rFonts w:cs="Calibri" w:ascii="Arial" w:hAnsi="Arial"/>
          <w:color w:val="000000"/>
          <w:sz w:val="24"/>
          <w:szCs w:val="24"/>
        </w:rPr>
        <w:t>(ostrzeżenie) oraz szybką analizę kwot wyliczonych na sprawozdaniach: Rb-27s, Rb-27, Rb-28, Rb-2</w:t>
      </w:r>
      <w:r>
        <w:rPr>
          <w:rFonts w:ascii="Arial" w:hAnsi="Arial"/>
          <w:sz w:val="24"/>
          <w:szCs w:val="24"/>
        </w:rPr>
        <w:t>8s, Rb-30s, Rb-34s, Rb-Z, Rb-N;</w:t>
      </w:r>
    </w:p>
    <w:p>
      <w:pPr>
        <w:pStyle w:val="Wypunktowanie2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grupową generację dokumentów księgowych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dokumentów źródłowych;</w:t>
      </w:r>
    </w:p>
    <w:p>
      <w:pPr>
        <w:pStyle w:val="Wypunktowanie2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zapisywanie szablonów ustawień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zestawieniach;</w:t>
      </w:r>
    </w:p>
    <w:p>
      <w:pPr>
        <w:pStyle w:val="Wypunktowanie2NV"/>
        <w:numPr>
          <w:ilvl w:val="0"/>
          <w:numId w:val="5"/>
        </w:numPr>
        <w:spacing w:before="0" w:after="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prowadzenie raportów kasowych (RK) oraz dokumentów kasowych (KP, KW) dla kilku kas, wraz z możliwością drukowania;</w:t>
      </w:r>
    </w:p>
    <w:p>
      <w:pPr>
        <w:pStyle w:val="Wypunktowanie2NV"/>
        <w:numPr>
          <w:ilvl w:val="0"/>
          <w:numId w:val="5"/>
        </w:numPr>
        <w:spacing w:before="0" w:after="0"/>
        <w:jc w:val="left"/>
        <w:rPr>
          <w:rFonts w:ascii="Arial Narrow" w:hAnsi="Arial Narrow" w:cs="Calibri"/>
          <w:color w:val="000000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zestawienia wpłat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wypłat kasowych oraz zestawienia środków kasowych, wraz z wydrukiem;</w:t>
      </w:r>
    </w:p>
    <w:p>
      <w:pPr>
        <w:pStyle w:val="Wypunktowanie2NV"/>
        <w:numPr>
          <w:ilvl w:val="0"/>
          <w:numId w:val="5"/>
        </w:numPr>
        <w:spacing w:before="0" w:after="0"/>
        <w:jc w:val="left"/>
        <w:rPr>
          <w:rFonts w:ascii="Arial Narrow" w:hAnsi="Arial Narrow" w:cs="Calibri"/>
          <w:color w:val="000000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wprowadzenie wyciągów bankowych, </w:t>
      </w:r>
      <w:r>
        <w:rPr>
          <w:rFonts w:cs="Calibri" w:ascii="Arial" w:hAnsi="Arial"/>
          <w:color w:val="000000"/>
          <w:sz w:val="24"/>
          <w:szCs w:val="24"/>
        </w:rPr>
        <w:t>wraz z możliwością importu wyciągów w formacie MT940 z banków (ING, PKO BP, PeKaO SA, Millenium, Bank Spółdzielczy z grupy BPS);</w:t>
      </w:r>
    </w:p>
    <w:p>
      <w:pPr>
        <w:pStyle w:val="Wypunktowanie2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podgląd i wydruk sald kontrahentów;</w:t>
      </w:r>
    </w:p>
    <w:p>
      <w:pPr>
        <w:pStyle w:val="Wypunktowanie2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not odsetkowych dla nieterminowych płatności dokumentów sprzedaży i</w:t>
      </w:r>
      <w:r>
        <w:rPr>
          <w:rStyle w:val="FontStyle44"/>
          <w:rFonts w:ascii="Arial" w:hAnsi="Arial"/>
          <w:color w:val="auto"/>
          <w:sz w:val="24"/>
          <w:szCs w:val="24"/>
        </w:rPr>
        <w:t> należności z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dokumentów PK, wraz z możliwością drukowania;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zestawień: rozrachunkowych, not odsetkowych oraz wezwań do zapłaty;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eksportu przelewów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możliwością tworzenia paczek przelewów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układzie płatności podzielonej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zwykłej, a także z możliwością uwzględnienia pozycji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paczki przelewów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tworzonym wyciągu bankowym;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weryfikację </w:t>
      </w:r>
      <w:r>
        <w:rPr>
          <w:rFonts w:ascii="Arial" w:hAnsi="Arial"/>
          <w:sz w:val="24"/>
          <w:szCs w:val="24"/>
        </w:rPr>
        <w:t>kontrahenta w wykazie podatników VAT (KAS), na etapie tworzenia paczki przelewów;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/>
          <w:sz w:val="22"/>
        </w:rPr>
      </w:pPr>
      <w:r>
        <w:rPr>
          <w:rFonts w:ascii="Arial" w:hAnsi="Arial"/>
          <w:sz w:val="24"/>
          <w:szCs w:val="24"/>
        </w:rPr>
        <w:t>wprowadzanie dokumentów sprzedaży i ich korekt, wraz z możliwością wydruku oraz dokumentów zakupu (wraz możliwością oznaczania pozycji faktury zakupu współczynnikiem proporcji (art. 86 ustawy o VAT), a także sposobem opodatkowania (zakup związany ze sprzedażą));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tworzenie zestawienia dokumentów sprzedaży, zakupów, not księgowych, wraz z wydrukiem;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kontrolowanie realizacji planu we wprowadzonym dokumencie zakupu;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faktur realizowanych płatnością podzieloną (split payment);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umów sprzedaży wraz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automatycznym generowaniem dokumentów sprzedaży;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obsługę rekompensat 40/70/100 euro za koszty odzyskiwania należności;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obsługę not księgowych własnych i obcych;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obsługę zaliczek (wnioski i rozliczenie zaliczki);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prowadzenie listy zamówień publicznych wraz z przypisywaniem zamówienia do dokumentu zakupu oraz tworzeniem zestawienia z realizacji zamówień, a także danymi do druku ZP-SR;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prowadzenie ewidencji cząstkowej VAT i rejestru dokumentów sprzedaży i zakupu, wraz z możliwością drukowania dla każdej jednostki;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możliwość tworzenia wielu wersji ewidencji VAT dla każdej jednostki;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 Narrow" w:hAnsi="Arial Narrow" w:eastAsia="" w:cs="" w:cstheme="minorBidi" w:eastAsiaTheme="minorEastAsia"/>
          <w:color w:val="auto"/>
          <w:sz w:val="22"/>
        </w:rPr>
      </w:pPr>
      <w:r>
        <w:rPr>
          <w:rFonts w:ascii="Arial" w:hAnsi="Arial"/>
          <w:color w:val="auto"/>
          <w:sz w:val="24"/>
          <w:szCs w:val="24"/>
        </w:rPr>
        <w:t>tworzenie pliku JPK_V7M (format ustrukturyzowany), wraz z możliwością określenia zawartości pliku (ewidencja z deklaracją, tylko deklaracja, tylko ewidencja), a także w celu złożenia (po raz pierwszy, korekta) oraz tworzenie pliku JPK_V7M cząstkowego z danymi w części deklaracyjnej w groszach;</w:t>
      </w:r>
    </w:p>
    <w:p>
      <w:pPr>
        <w:pStyle w:val="Wypunktowanie1NV"/>
        <w:numPr>
          <w:ilvl w:val="0"/>
          <w:numId w:val="22"/>
        </w:numPr>
        <w:spacing w:before="0" w:after="0"/>
        <w:ind w:left="1134" w:hanging="36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generowanie pliku PDF podsumowującego dla podatku od towarów i usług (rozliczenie podatku należnego i naliczonego), w ujęciu do pełnych złotych i w groszach</w:t>
      </w:r>
      <w:r>
        <w:rPr>
          <w:rFonts w:eastAsia="" w:ascii="Arial" w:hAnsi="Arial" w:eastAsiaTheme="minorEastAsia"/>
          <w:color w:val="auto"/>
          <w:sz w:val="24"/>
          <w:szCs w:val="24"/>
        </w:rPr>
        <w:t>.</w:t>
      </w:r>
    </w:p>
    <w:p>
      <w:pPr>
        <w:pStyle w:val="NoSpacing"/>
        <w:numPr>
          <w:ilvl w:val="0"/>
          <w:numId w:val="2"/>
        </w:numPr>
        <w:ind w:left="720" w:hanging="436"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>System kadrowy i płacowy</w:t>
      </w:r>
    </w:p>
    <w:p>
      <w:pPr>
        <w:pStyle w:val="Normal"/>
        <w:spacing w:lineRule="auto" w:line="240" w:before="0" w:after="0"/>
        <w:ind w:left="426" w:hanging="0"/>
        <w:jc w:val="left"/>
        <w:rPr>
          <w:rFonts w:ascii="Arial Narrow" w:hAnsi="Arial Narrow" w:eastAsia="Calibri" w:cs="Calibri"/>
        </w:rPr>
      </w:pPr>
      <w:r>
        <w:rPr>
          <w:rFonts w:eastAsia="Calibri" w:cs="Calibri" w:ascii="Arial" w:hAnsi="Arial"/>
          <w:sz w:val="24"/>
          <w:szCs w:val="24"/>
        </w:rPr>
        <w:t>System dostarcza funkcje ułatwiające naliczanie płac, uwzględniając specyficzne zasady naliczania wynagrodzeń nauczycieli. Uwzględnia obowiązujące przepisy prawne takie jak naliczanie składek na ubezpieczenia społeczne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zdrowotne, ustalanie zaliczki na podatek dochodowy od osób fizycznych. System ma na celu również obsługę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automatyczną kontrolę formalnej poprawności zbieranych dokumentacji kadrowych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oświacie.</w:t>
      </w:r>
    </w:p>
    <w:p>
      <w:pPr>
        <w:pStyle w:val="NoSpacing"/>
        <w:ind w:firstLine="426"/>
        <w:jc w:val="left"/>
        <w:rPr>
          <w:rFonts w:ascii="Arial Narrow" w:hAnsi="Arial Narrow" w:eastAsia="Calibri" w:cs="Calibri"/>
        </w:rPr>
      </w:pPr>
      <w:r>
        <w:rPr>
          <w:rStyle w:val="Normaltextrun"/>
          <w:rFonts w:eastAsia="Calibri" w:cs="Calibri" w:ascii="Arial" w:hAnsi="Arial"/>
          <w:sz w:val="24"/>
          <w:szCs w:val="24"/>
          <w:shd w:fill="FFFFFF" w:val="clear"/>
        </w:rPr>
        <w:t>System umożliwia</w:t>
      </w:r>
      <w:r>
        <w:rPr>
          <w:rFonts w:eastAsia="Calibri" w:cs="Calibri" w:ascii="Arial" w:hAnsi="Arial"/>
          <w:sz w:val="24"/>
          <w:szCs w:val="24"/>
        </w:rPr>
        <w:t>:</w:t>
      </w:r>
    </w:p>
    <w:p>
      <w:pPr>
        <w:pStyle w:val="Nagwek5"/>
        <w:spacing w:lineRule="auto" w:line="240" w:before="0" w:after="0"/>
        <w:ind w:firstLine="426"/>
        <w:jc w:val="left"/>
        <w:rPr>
          <w:rFonts w:ascii="Arial Narrow" w:hAnsi="Arial Narrow"/>
          <w:color w:val="auto"/>
        </w:rPr>
      </w:pPr>
      <w:r>
        <w:rPr>
          <w:rFonts w:ascii="Arial" w:hAnsi="Arial"/>
          <w:color w:val="auto"/>
          <w:sz w:val="24"/>
          <w:szCs w:val="24"/>
        </w:rPr>
        <w:t>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ascii="Arial" w:hAnsi="Arial"/>
          <w:color w:val="auto"/>
          <w:sz w:val="24"/>
          <w:szCs w:val="24"/>
        </w:rPr>
        <w:t>zakresie dotyczącym obsługi kadrowej: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rejestrowanie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przetwarzanie danych kadrowych pracowników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zleceniobiorców;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gromadzenie:</w:t>
      </w:r>
    </w:p>
    <w:p>
      <w:pPr>
        <w:pStyle w:val="ListParagraph"/>
        <w:numPr>
          <w:ilvl w:val="0"/>
          <w:numId w:val="28"/>
        </w:numPr>
        <w:tabs>
          <w:tab w:val="clear" w:pos="708"/>
          <w:tab w:val="left" w:pos="1418" w:leader="none"/>
        </w:tabs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danych osobowych w zakresie wymaganym przez przepisy dla dokumentacji pracowniczej,</w:t>
      </w:r>
    </w:p>
    <w:p>
      <w:pPr>
        <w:pStyle w:val="ListParagraph"/>
        <w:numPr>
          <w:ilvl w:val="0"/>
          <w:numId w:val="28"/>
        </w:numPr>
        <w:tabs>
          <w:tab w:val="clear" w:pos="708"/>
          <w:tab w:val="left" w:pos="1418" w:leader="none"/>
        </w:tabs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danych dotyczących umów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pracę, wraz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rejestracją zmian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zatrudnieniu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okresie pozostawania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stosunku pracy,</w:t>
      </w:r>
    </w:p>
    <w:p>
      <w:pPr>
        <w:pStyle w:val="ListParagraph"/>
        <w:numPr>
          <w:ilvl w:val="0"/>
          <w:numId w:val="28"/>
        </w:numPr>
        <w:tabs>
          <w:tab w:val="clear" w:pos="708"/>
          <w:tab w:val="left" w:pos="1418" w:leader="none"/>
        </w:tabs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informacji takich jak np. terminy badań okresowych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wymaganych szkoleń BHP,</w:t>
      </w:r>
    </w:p>
    <w:p>
      <w:pPr>
        <w:pStyle w:val="ListParagraph"/>
        <w:numPr>
          <w:ilvl w:val="0"/>
          <w:numId w:val="28"/>
        </w:numPr>
        <w:tabs>
          <w:tab w:val="clear" w:pos="708"/>
          <w:tab w:val="left" w:pos="1418" w:leader="none"/>
        </w:tabs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informacji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rodzinie pracownika dla potrzeb ustalania prawa do świadczeń,</w:t>
      </w:r>
    </w:p>
    <w:p>
      <w:pPr>
        <w:pStyle w:val="ListParagraph"/>
        <w:numPr>
          <w:ilvl w:val="0"/>
          <w:numId w:val="28"/>
        </w:numPr>
        <w:tabs>
          <w:tab w:val="clear" w:pos="708"/>
          <w:tab w:val="left" w:pos="1418" w:leader="none"/>
        </w:tabs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danych dotyczących umów cywilnoprawnych;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uwzględnianie odmiennych zasad zatrudniania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wynagradzania nauczycieli oraz pracowników nie będących nauczycielami (administracja, obsługa);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rejestrowanie absencji pracowników oraz sporządzanie zestawień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statystyki;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kontrolę terminów np. wypłat nagród jubileuszowych, ważności książeczek zdrowia,</w:t>
      </w:r>
      <w:r>
        <w:rPr>
          <w:rFonts w:eastAsia="Calibri" w:cs="Calibri" w:ascii="Arial" w:hAnsi="Arial"/>
          <w:sz w:val="24"/>
          <w:szCs w:val="24"/>
        </w:rPr>
        <w:t xml:space="preserve"> okresowych badań lekarskich;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kontrolę przekroczenia limitów wprowadzonych absencji;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tworzenie, na podstawie danych zgromadzonych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systemie, raportów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zestawień;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dostarczenie danych niezbędnych do wypełniania sprawozdań GUS w zakresie danych kadrowych;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przekazanie danych do oprogramowania płacowego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księgowego;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dostarczanie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postaci elektronicznej:</w:t>
      </w:r>
    </w:p>
    <w:p>
      <w:pPr>
        <w:pStyle w:val="ListParagraph"/>
        <w:numPr>
          <w:ilvl w:val="0"/>
          <w:numId w:val="29"/>
        </w:numPr>
        <w:tabs>
          <w:tab w:val="clear" w:pos="708"/>
          <w:tab w:val="left" w:pos="1418" w:leader="none"/>
        </w:tabs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dokumentów zgłoszeniowych do ubezpieczeń dla systemu „Płatnik”,</w:t>
      </w:r>
    </w:p>
    <w:p>
      <w:pPr>
        <w:pStyle w:val="ListParagraph"/>
        <w:numPr>
          <w:ilvl w:val="0"/>
          <w:numId w:val="29"/>
        </w:numPr>
        <w:tabs>
          <w:tab w:val="clear" w:pos="708"/>
          <w:tab w:val="left" w:pos="1418" w:leader="none"/>
        </w:tabs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danych kadrowych wymaganych w raporcie dla Systemu Informacji Oświatowej;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eastAsiaTheme="minorEastAsia"/>
        </w:rPr>
      </w:pPr>
      <w:r>
        <w:rPr>
          <w:rFonts w:ascii="Arial" w:hAnsi="Arial"/>
          <w:sz w:val="24"/>
          <w:szCs w:val="24"/>
        </w:rPr>
        <w:t>importowanie elektronicznych zwolnień lekarskich (e-ZLA)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portalu ZUS;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eastAsiaTheme="minorEastAsia"/>
        </w:rPr>
      </w:pPr>
      <w:r>
        <w:rPr>
          <w:rFonts w:eastAsia="Calibri" w:cs="Calibri" w:ascii="Arial" w:hAnsi="Arial"/>
          <w:sz w:val="24"/>
          <w:szCs w:val="24"/>
        </w:rPr>
        <w:t>przygotowywanie gotowych wzorów wydruków dokumentów kadrowych;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eastAsiaTheme="minorEastAsia"/>
        </w:rPr>
      </w:pPr>
      <w:r>
        <w:rPr>
          <w:rFonts w:ascii="Arial" w:hAnsi="Arial"/>
          <w:sz w:val="24"/>
          <w:szCs w:val="24"/>
        </w:rPr>
        <w:t>pracę na wspólnej bazie danych z programem do obsługi płacowej, obecnie wykorzystywanym przez Zamawiającego, dzięki czemu danych wprowadzonych w systemie kadrowym nie trzeba ponownie wprowadzać do systemu płacowego.</w:t>
      </w:r>
    </w:p>
    <w:p>
      <w:pPr>
        <w:pStyle w:val="Nagwek5"/>
        <w:spacing w:lineRule="auto" w:line="240" w:before="0" w:after="0"/>
        <w:ind w:left="567" w:hanging="0"/>
        <w:jc w:val="left"/>
        <w:rPr>
          <w:rFonts w:ascii="Arial Narrow" w:hAnsi="Arial Narrow"/>
          <w:color w:val="auto"/>
        </w:rPr>
      </w:pPr>
      <w:r>
        <w:rPr>
          <w:rFonts w:ascii="Arial" w:hAnsi="Arial"/>
          <w:color w:val="auto"/>
          <w:sz w:val="24"/>
          <w:szCs w:val="24"/>
        </w:rPr>
        <w:t>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ascii="Arial" w:hAnsi="Arial"/>
          <w:color w:val="auto"/>
          <w:sz w:val="24"/>
          <w:szCs w:val="24"/>
        </w:rPr>
        <w:t>zakresie dotyczącym obsługi płacowej: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pobieranie danych osobowych oraz danych dotyczące umów pracowniczych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cywilnoprawnych z systemu obsługującego kadry pracującego na wspólnej bazie danych;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prowadzenia</w:t>
      </w:r>
      <w:r>
        <w:rPr>
          <w:rFonts w:eastAsia="Calibri" w:ascii="Arial" w:hAnsi="Arial"/>
          <w:sz w:val="24"/>
          <w:szCs w:val="24"/>
        </w:rPr>
        <w:t xml:space="preserve"> </w:t>
      </w:r>
      <w:r>
        <w:rPr>
          <w:rFonts w:cs="Times New Roman" w:ascii="Arial" w:hAnsi="Arial"/>
          <w:color w:val="000000"/>
          <w:sz w:val="24"/>
          <w:szCs w:val="24"/>
        </w:rPr>
        <w:t>wspólnych zasad naliczania płac we wszystkich podległych jednostkach;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sporządzanie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drukowanie list wypłat, comiesięcznych oraz sporadycznych, np. wypłata nagród, składników socjalnych;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przypisywanie kilku rozdziałów klasyfikacji budżetowej do jednej umowy pracownika (w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sytuacji, kiedy pracownik realizuje etat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więcej niż jednym rozdziale);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wykazywanie na listach wypłat należnych składników wynagrodzenia lub świadczenia oraz naliczonych od nich składek na ubezpieczenia społeczne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ubezpieczenie zdrowotne, a także zaliczka na podatek dochodowy od osób fizycznych;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rejestrowanie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rozliczanie na liście płac potrąceń własnych pracownika, np. składka na Związki Zawodowe, spłata pożyczki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Kasy Zapomogowo-Pożyczkowej;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dokonywanie wyrównania wypłacanego wynagrodzenia za dowolne miesiące;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automatyczne wyliczanie godzin nadliczbowych pracowników niepedagogicznych;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rozliczanie nieobecności dla umów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pracę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umów cywilnoprawnych;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eksportowanie: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comiesięcznych dokumentów rozliczeniowych do ZUS za pomocą systemu „Płatnik”,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wypłat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potrąceń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układzie klasyfikacji budżetowej do systemu księgowego,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przelewów do bankowości elektronicznej,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ind w:left="1418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danych do Systemu Informacji Oświatowej;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tworzenie, na podstawie danych zgromadzonych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systemie, raportów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 xml:space="preserve">zestawień dla potrzeb analiz </w:t>
      </w:r>
      <w:r>
        <w:rPr>
          <w:rFonts w:eastAsia="" w:cs="" w:ascii="Arial" w:hAnsi="Arial" w:cstheme="minorEastAsia" w:eastAsiaTheme="minorEastAsia"/>
          <w:sz w:val="24"/>
          <w:szCs w:val="24"/>
        </w:rPr>
        <w:t>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sprawozdawczości z wybranej lub wielu jednostek;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dostarczanie danych niezbędnych do wypełniania sprawozdań GUS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zakresie danych o zatrudnieniu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czasie pracy;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dostarczanie danych do sporządzania przelewów oraz formularzy PIT (PIT-11, PIT-4R, PIT-8AR);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wygenerowanie formularzy IFT-1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IFT-1R;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wysyłkę danych do systemu e-Deklaracje;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eastAsiaTheme="minorEastAsia"/>
        </w:rPr>
      </w:pPr>
      <w:r>
        <w:rPr>
          <w:rFonts w:ascii="Arial" w:hAnsi="Arial"/>
          <w:sz w:val="24"/>
          <w:szCs w:val="24"/>
        </w:rPr>
        <w:t>importowanie elektronicznych zwolnień lekarskich (e-ZLA)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portalu ZUS;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eastAsiaTheme="minorEastAsia"/>
        </w:rPr>
      </w:pPr>
      <w:r>
        <w:rPr>
          <w:rFonts w:ascii="Arial" w:hAnsi="Arial"/>
          <w:sz w:val="24"/>
          <w:szCs w:val="24"/>
        </w:rPr>
        <w:t>obsłużenie procesu Pracowniczych Planów Kapitałowych;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przygotowanie danych do naliczeń jednorazowego dodatku uzupełniającego;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/>
        </w:rPr>
      </w:pPr>
      <w:r>
        <w:rPr>
          <w:rFonts w:eastAsia="Calibri" w:cs="Calibri" w:ascii="Arial" w:hAnsi="Arial"/>
          <w:sz w:val="24"/>
          <w:szCs w:val="24"/>
        </w:rPr>
        <w:t>import godzin ponadwymiarowych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dziennika elektronicznego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pliku XLS;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wysyłkę pasków wynagrodzeń pocztą email;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eksport przelewów do systemów bankowych;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1134" w:hanging="360"/>
        <w:contextualSpacing/>
        <w:jc w:val="left"/>
        <w:rPr>
          <w:rFonts w:ascii="Arial Narrow" w:hAnsi="Arial Narrow" w:eastAsia="" w:cs="" w:cstheme="minorEastAsia" w:eastAsiaTheme="minorEastAsia"/>
        </w:rPr>
      </w:pPr>
      <w:r>
        <w:rPr>
          <w:rFonts w:eastAsia="Calibri" w:cs="Calibri" w:ascii="Arial" w:hAnsi="Arial"/>
          <w:sz w:val="24"/>
          <w:szCs w:val="24"/>
        </w:rPr>
        <w:t>wymianę e-Deklaracji;</w:t>
      </w:r>
    </w:p>
    <w:p>
      <w:pPr>
        <w:pStyle w:val="NoSpacing"/>
        <w:numPr>
          <w:ilvl w:val="0"/>
          <w:numId w:val="8"/>
        </w:numPr>
        <w:ind w:left="1134" w:hanging="360"/>
        <w:jc w:val="left"/>
        <w:rPr>
          <w:rFonts w:ascii="Arial Narrow" w:hAnsi="Arial Narrow"/>
        </w:rPr>
      </w:pPr>
      <w:r>
        <w:rPr>
          <w:rFonts w:eastAsia="Calibri" w:cs="Calibri" w:ascii="Arial" w:hAnsi="Arial"/>
          <w:sz w:val="24"/>
          <w:szCs w:val="24"/>
        </w:rPr>
        <w:t>eksport danych do Płatnika, GUS, SIO;</w:t>
      </w:r>
    </w:p>
    <w:p>
      <w:pPr>
        <w:pStyle w:val="NoSpacing"/>
        <w:numPr>
          <w:ilvl w:val="0"/>
          <w:numId w:val="8"/>
        </w:numPr>
        <w:ind w:left="1134" w:hanging="360"/>
        <w:jc w:val="left"/>
        <w:rPr>
          <w:rFonts w:ascii="Arial Narrow" w:hAnsi="Arial Narrow"/>
        </w:rPr>
      </w:pPr>
      <w:r>
        <w:rPr>
          <w:rFonts w:eastAsia="Calibri" w:cs="Calibri" w:ascii="Arial" w:hAnsi="Arial"/>
          <w:sz w:val="24"/>
          <w:szCs w:val="24"/>
        </w:rPr>
        <w:t>rejestr zmian.</w:t>
      </w:r>
    </w:p>
    <w:p>
      <w:pPr>
        <w:pStyle w:val="NoSpacing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ind w:left="720" w:hanging="436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System Jednorazowy Dodatek Uzupełniając</w:t>
      </w:r>
      <w:r>
        <w:rPr>
          <w:rFonts w:ascii="Arial" w:hAnsi="Arial"/>
          <w:b/>
          <w:sz w:val="24"/>
          <w:szCs w:val="24"/>
        </w:rPr>
        <w:t>y</w:t>
      </w:r>
    </w:p>
    <w:p>
      <w:pPr>
        <w:pStyle w:val="NoSpacing"/>
        <w:ind w:left="360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System ułatwia JST wyliczenie wysokości dodatku uzupełniającego zgodnie z art. 30a Karty Nauczyciela. Kwoty dodatków dla nauczycieli są przygotowane w podziale na stopnie awansu zawodowego dla poszczególnych jednostek. System umożliwia pozyskanie danych z programu do obsługi kadrowo-płacowej.</w:t>
      </w:r>
    </w:p>
    <w:p>
      <w:pPr>
        <w:pStyle w:val="NoSpacing"/>
        <w:ind w:firstLine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System umożliwia:</w:t>
      </w:r>
    </w:p>
    <w:p>
      <w:pPr>
        <w:pStyle w:val="NoSpacing"/>
        <w:numPr>
          <w:ilvl w:val="0"/>
          <w:numId w:val="21"/>
        </w:numPr>
        <w:ind w:left="1134" w:hanging="283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korzystanie z funkcjonalności pozwalających na wyznaczenie:</w:t>
      </w:r>
    </w:p>
    <w:p>
      <w:pPr>
        <w:pStyle w:val="NoSpacing"/>
        <w:numPr>
          <w:ilvl w:val="0"/>
          <w:numId w:val="26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średniego wynagrodzenia oraz średniorocznej struktury zatrudnienia,</w:t>
      </w:r>
    </w:p>
    <w:p>
      <w:pPr>
        <w:pStyle w:val="NoSpacing"/>
        <w:numPr>
          <w:ilvl w:val="0"/>
          <w:numId w:val="26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średnich wynagrodzeń nauczycieli na poszczególnych stopniach awansu zawodowego,</w:t>
      </w:r>
    </w:p>
    <w:p>
      <w:pPr>
        <w:pStyle w:val="NoSpacing"/>
        <w:numPr>
          <w:ilvl w:val="0"/>
          <w:numId w:val="26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kwot różnic między wynagrodzeniami należnym a faktycznie wypłaconym,</w:t>
      </w:r>
    </w:p>
    <w:p>
      <w:pPr>
        <w:pStyle w:val="NoSpacing"/>
        <w:numPr>
          <w:ilvl w:val="0"/>
          <w:numId w:val="26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podziału jednorazowego dodatku uzupełniającego między poszczególne placówki w podziale na stopnie awansu zawodowego;</w:t>
      </w:r>
    </w:p>
    <w:p>
      <w:pPr>
        <w:pStyle w:val="NoSpacing"/>
        <w:numPr>
          <w:ilvl w:val="0"/>
          <w:numId w:val="21"/>
        </w:numPr>
        <w:ind w:left="1134" w:hanging="283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gromadzenie danych pochodzących z systemu płacowego:</w:t>
      </w:r>
    </w:p>
    <w:p>
      <w:pPr>
        <w:pStyle w:val="NoSpacing"/>
        <w:numPr>
          <w:ilvl w:val="0"/>
          <w:numId w:val="25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liczbę etatów w podziale na miesiące,</w:t>
      </w:r>
    </w:p>
    <w:p>
      <w:pPr>
        <w:pStyle w:val="NoSpacing"/>
        <w:numPr>
          <w:ilvl w:val="0"/>
          <w:numId w:val="25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stopnie awansu zawodowego i placówki,</w:t>
      </w:r>
    </w:p>
    <w:p>
      <w:pPr>
        <w:pStyle w:val="NoSpacing"/>
        <w:numPr>
          <w:ilvl w:val="0"/>
          <w:numId w:val="25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faktycznie poniesione wydatki na wynagrodzenia nauczycieli – również w podziale na miesiące i stopnie awansu,</w:t>
      </w:r>
    </w:p>
    <w:p>
      <w:pPr>
        <w:pStyle w:val="NoSpacing"/>
        <w:numPr>
          <w:ilvl w:val="0"/>
          <w:numId w:val="25"/>
        </w:numPr>
        <w:ind w:left="1418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współczynniki podziału niedopłaty (tj. osobista stawka wynagrodzenia zasadniczego);</w:t>
      </w:r>
    </w:p>
    <w:p>
      <w:pPr>
        <w:pStyle w:val="NoSpacing"/>
        <w:numPr>
          <w:ilvl w:val="0"/>
          <w:numId w:val="21"/>
        </w:numPr>
        <w:ind w:left="1134" w:hanging="283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wyżej wymienione metody obliczeń wynikające z zapisów w art. 30a Karty Nauczyciela winny być zgodne z Rozporządzeniem Ministra Edukacji Narodowej w sprawie sposobu opracowywania sprawozdania z wysokości średnich wynagrodzeń nauczycieli na poszczególnych stopniach awansu zawodowego w szkołach prowadzonych przez jednostki samorządu terytorialnego;</w:t>
      </w:r>
    </w:p>
    <w:p>
      <w:pPr>
        <w:pStyle w:val="NoSpacing"/>
        <w:numPr>
          <w:ilvl w:val="0"/>
          <w:numId w:val="21"/>
        </w:numPr>
        <w:ind w:left="1134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bieżącą kontrolę kompletności wprowadzanych danych;</w:t>
      </w:r>
    </w:p>
    <w:p>
      <w:pPr>
        <w:pStyle w:val="NoSpacing"/>
        <w:numPr>
          <w:ilvl w:val="0"/>
          <w:numId w:val="21"/>
        </w:numPr>
        <w:ind w:left="1134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bieżącą weryfikację poprawności;</w:t>
      </w:r>
    </w:p>
    <w:p>
      <w:pPr>
        <w:pStyle w:val="NoSpacing"/>
        <w:numPr>
          <w:ilvl w:val="0"/>
          <w:numId w:val="21"/>
        </w:numPr>
        <w:ind w:left="1134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bieżącą kontrolę kwoty niedopłaty (w poszczególnych miesiącach);</w:t>
      </w:r>
    </w:p>
    <w:p>
      <w:pPr>
        <w:pStyle w:val="NoSpacing"/>
        <w:numPr>
          <w:ilvl w:val="0"/>
          <w:numId w:val="21"/>
        </w:numPr>
        <w:ind w:left="1134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sporządzenie raportu dla RIO zgodnie ze wzorcem publikowanym przez MEN;</w:t>
      </w:r>
    </w:p>
    <w:p>
      <w:pPr>
        <w:pStyle w:val="NoSpacing"/>
        <w:numPr>
          <w:ilvl w:val="0"/>
          <w:numId w:val="21"/>
        </w:numPr>
        <w:ind w:left="1134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publikowanie wyników z przeprowadzonych analiz – kwot dodatków uzupełniających dla </w:t>
      </w:r>
      <w:bookmarkStart w:id="0" w:name="_GoBack"/>
      <w:bookmarkEnd w:id="0"/>
      <w:r>
        <w:rPr>
          <w:rFonts w:cs="Calibri" w:ascii="Arial" w:hAnsi="Arial"/>
          <w:sz w:val="24"/>
          <w:szCs w:val="24"/>
        </w:rPr>
        <w:t>nauczycieli w poszczególnych placówkach;</w:t>
      </w:r>
    </w:p>
    <w:p>
      <w:pPr>
        <w:pStyle w:val="NoSpacing"/>
        <w:numPr>
          <w:ilvl w:val="0"/>
          <w:numId w:val="21"/>
        </w:numPr>
        <w:ind w:left="1134" w:hanging="360"/>
        <w:jc w:val="left"/>
        <w:rPr>
          <w:rFonts w:ascii="Arial Narrow" w:hAnsi="Arial Narrow" w:cs="Calibri"/>
        </w:rPr>
      </w:pPr>
      <w:r>
        <w:rPr>
          <w:rFonts w:cs="Calibri" w:ascii="Arial" w:hAnsi="Arial"/>
          <w:sz w:val="24"/>
          <w:szCs w:val="24"/>
        </w:rPr>
        <w:t>jednostkom oświatowym zdalny dostęp do swoich danych płacowych, które zostały zgromadzone w aplikacji oraz ich modyfikację lub sukcesywne uzupełnianie;</w:t>
      </w:r>
    </w:p>
    <w:p>
      <w:pPr>
        <w:pStyle w:val="NoSpacing"/>
        <w:numPr>
          <w:ilvl w:val="0"/>
          <w:numId w:val="21"/>
        </w:numPr>
        <w:ind w:left="1134" w:hanging="360"/>
        <w:jc w:val="left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jednostkom oświatowym pobranie odpowiednich danych niezbędnych do przygotowania wypłat jednorazowego dodatku uzupełniającego dla nauczycieli zatrudnionych w tych jednostkach.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Wymienione powyżej aplikacje muszą:</w:t>
      </w:r>
    </w:p>
    <w:p>
      <w:pPr>
        <w:pStyle w:val="ListParagraph"/>
        <w:numPr>
          <w:ilvl w:val="0"/>
          <w:numId w:val="10"/>
        </w:numPr>
        <w:shd w:val="clear" w:color="auto" w:fill="FFFFFF"/>
        <w:spacing w:lineRule="auto" w:line="240" w:before="0" w:after="0"/>
        <w:ind w:left="1134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zapewniać znaczącą możliwość powiększenia strony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czcionki;</w:t>
      </w:r>
    </w:p>
    <w:p>
      <w:pPr>
        <w:pStyle w:val="ListParagraph"/>
        <w:numPr>
          <w:ilvl w:val="0"/>
          <w:numId w:val="10"/>
        </w:numPr>
        <w:shd w:val="clear" w:color="auto" w:fill="FFFFFF"/>
        <w:spacing w:lineRule="auto" w:line="480" w:before="0" w:after="0"/>
        <w:ind w:left="1134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umożliwiać dostęp na różnych przeglądarkach: Chrome, Firefox, Internet Explorer.</w:t>
      </w:r>
    </w:p>
    <w:p>
      <w:pPr>
        <w:pStyle w:val="Normal"/>
        <w:shd w:val="clear" w:color="auto" w:fill="FFFFFF"/>
        <w:spacing w:lineRule="auto" w:line="480" w:before="0" w:after="0"/>
        <w:ind w:firstLine="426"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bCs/>
          <w:sz w:val="24"/>
          <w:szCs w:val="24"/>
        </w:rPr>
        <w:t>Ponadto pomiędzy aplikacjami powinna być możliwość przepływu informacji i</w:t>
      </w:r>
      <w:r>
        <w:rPr>
          <w:rStyle w:val="FontStyle44"/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bCs/>
          <w:sz w:val="24"/>
          <w:szCs w:val="24"/>
        </w:rPr>
        <w:t>wymiany danych</w:t>
      </w:r>
      <w:r>
        <w:rPr>
          <w:rFonts w:ascii="Arial" w:hAnsi="Arial"/>
          <w:b/>
          <w:sz w:val="24"/>
          <w:szCs w:val="24"/>
        </w:rPr>
        <w:t>.</w:t>
      </w:r>
    </w:p>
    <w:p>
      <w:pPr>
        <w:pStyle w:val="NoSpacing"/>
        <w:ind w:left="426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Ogólnie system powinien: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wdrażać nowe e-usługi oraz modernizować e-usługi obecnie funkcjonujące w zakresie umożliwiającym sprawne i efektywne świadczenie e-usług dla użytkowników zewnętrznych (np. obywateli), jak i użytkowników wewnętrznych (np. pracowników JST, szkół);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być zgodny z aktualnymi przepisami prawnymi;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mieć budowę modułową zapewniającą integrację jego elementów oraz prowadzenie modułów przez pracowników urzędu i szkół, w ramach ich codziennych obowiązków;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umożliwiać rejestrację informacji tworzonych przez odpowiedzialne komórki, w sposób pozwalający na ich wykorzystanie przez inne podmioty i komórki organizacyjne;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zapewniać bezpieczeństwo, szybkość przepływu i aktualność zgromadzonych w nim informacji;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posiadać narzędzia administrowania systemu zapewniające zarządzanie modułami systemu i danymi, zgodnie z kompetencjami JST i jednostek;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umożliwiać prowadzenie i aktualizowanie danych przez poszczególnych użytkowników modułów systemu, zajmujących się określonymi tematami;</w:t>
      </w:r>
    </w:p>
    <w:p>
      <w:pPr>
        <w:pStyle w:val="NoSpacing"/>
        <w:numPr>
          <w:ilvl w:val="0"/>
          <w:numId w:val="23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posiadać zainicjowane słowniki:</w:t>
      </w:r>
    </w:p>
    <w:p>
      <w:pPr>
        <w:pStyle w:val="NoSpacing"/>
        <w:numPr>
          <w:ilvl w:val="0"/>
          <w:numId w:val="24"/>
        </w:numPr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administracyjne, np. Banki, Urzędy Skarbowe, Oddziały NFZ,</w:t>
      </w:r>
    </w:p>
    <w:p>
      <w:pPr>
        <w:pStyle w:val="NoSpacing"/>
        <w:numPr>
          <w:ilvl w:val="0"/>
          <w:numId w:val="24"/>
        </w:numPr>
        <w:spacing w:lineRule="auto" w:line="480"/>
        <w:ind w:left="1418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adresowe w zakresie integracji z TERYT.</w:t>
      </w:r>
    </w:p>
    <w:p>
      <w:pPr>
        <w:pStyle w:val="Normal"/>
        <w:shd w:val="clear" w:color="auto" w:fill="FFFFFF"/>
        <w:spacing w:lineRule="auto" w:line="240" w:before="0" w:after="0"/>
        <w:ind w:left="36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Podczas całego procesu wdrożenia systemu musi być zapewniona pomoc w obsłudze platformy oraz szkolenia stacjonarne/ online dla pracowników wszystkich 49 jednostek oświatowych.</w:t>
      </w:r>
    </w:p>
    <w:p>
      <w:pPr>
        <w:pStyle w:val="NoSpacing"/>
        <w:ind w:firstLine="426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Szkolenia z aplikacji.</w:t>
      </w:r>
    </w:p>
    <w:p>
      <w:pPr>
        <w:pStyle w:val="NoSpacing"/>
        <w:numPr>
          <w:ilvl w:val="0"/>
          <w:numId w:val="32"/>
        </w:numPr>
        <w:ind w:left="1134" w:hanging="360"/>
        <w:jc w:val="left"/>
        <w:rPr>
          <w:rFonts w:ascii="Arial Narrow" w:hAnsi="Arial Narrow" w:cs="Segoe UI"/>
        </w:rPr>
      </w:pPr>
      <w:r>
        <w:rPr>
          <w:rFonts w:cs="Calibri" w:ascii="Arial" w:hAnsi="Arial"/>
          <w:sz w:val="24"/>
          <w:szCs w:val="24"/>
        </w:rPr>
        <w:t>Ogólnie.</w:t>
      </w:r>
    </w:p>
    <w:p>
      <w:pPr>
        <w:pStyle w:val="NoSpacing"/>
        <w:ind w:left="1134" w:hanging="0"/>
        <w:jc w:val="left"/>
        <w:rPr>
          <w:rFonts w:ascii="Arial Narrow" w:hAnsi="Arial Narrow" w:cs="Segoe UI"/>
        </w:rPr>
      </w:pPr>
      <w:r>
        <w:rPr>
          <w:rFonts w:cs="Calibri" w:ascii="Arial" w:hAnsi="Arial"/>
          <w:sz w:val="24"/>
          <w:szCs w:val="24"/>
        </w:rPr>
        <w:t xml:space="preserve">Możliwość realizacji </w:t>
      </w:r>
      <w:r>
        <w:rPr>
          <w:rFonts w:cs="Calibri" w:ascii="Arial" w:hAnsi="Arial"/>
          <w:color w:val="2A2835"/>
          <w:sz w:val="24"/>
          <w:szCs w:val="24"/>
        </w:rPr>
        <w:t>wszystkich bądź wybranych szkoleń dla pracowników obsługujących system, a także możliwość wspólnego ustalenia harmonogramu szkoleń.</w:t>
      </w:r>
    </w:p>
    <w:p>
      <w:pPr>
        <w:pStyle w:val="NoSpacing"/>
        <w:ind w:left="350" w:firstLine="784"/>
        <w:jc w:val="left"/>
        <w:rPr>
          <w:rFonts w:ascii="Arial" w:hAnsi="Arial"/>
          <w:sz w:val="24"/>
          <w:szCs w:val="24"/>
        </w:rPr>
      </w:pPr>
      <w:r>
        <w:rPr>
          <w:rFonts w:cs="Calibri" w:ascii="Arial" w:hAnsi="Arial"/>
          <w:color w:val="2A2835"/>
          <w:sz w:val="24"/>
          <w:szCs w:val="24"/>
        </w:rPr>
        <w:t>W ramach szkoleń z systemu:</w:t>
      </w:r>
    </w:p>
    <w:p>
      <w:pPr>
        <w:pStyle w:val="NoSpacing"/>
        <w:numPr>
          <w:ilvl w:val="0"/>
          <w:numId w:val="33"/>
        </w:numPr>
        <w:ind w:left="1418" w:hanging="360"/>
        <w:jc w:val="left"/>
        <w:rPr>
          <w:rFonts w:ascii="Arial Narrow" w:hAnsi="Arial Narrow" w:cs="Segoe UI"/>
        </w:rPr>
      </w:pPr>
      <w:r>
        <w:rPr>
          <w:rFonts w:cs="Calibri" w:ascii="Arial" w:hAnsi="Arial"/>
          <w:color w:val="2A2835"/>
          <w:sz w:val="24"/>
          <w:szCs w:val="24"/>
        </w:rPr>
        <w:t>każdy uczestnik powinien otrzymać materiały szkoleniowe,</w:t>
      </w:r>
    </w:p>
    <w:p>
      <w:pPr>
        <w:pStyle w:val="NoSpacing"/>
        <w:numPr>
          <w:ilvl w:val="0"/>
          <w:numId w:val="33"/>
        </w:numPr>
        <w:ind w:left="1418" w:hanging="360"/>
        <w:jc w:val="left"/>
        <w:rPr>
          <w:rFonts w:ascii="Arial Narrow" w:hAnsi="Arial Narrow" w:cs="Segoe UI"/>
        </w:rPr>
      </w:pPr>
      <w:r>
        <w:rPr>
          <w:rFonts w:cs="Calibri" w:ascii="Arial" w:hAnsi="Arial"/>
          <w:color w:val="2A2835"/>
          <w:sz w:val="24"/>
          <w:szCs w:val="24"/>
        </w:rPr>
        <w:t xml:space="preserve">zajęcia powinny odbywać się w godzinach od godz. </w:t>
      </w:r>
      <w:r>
        <w:rPr>
          <w:rFonts w:ascii="Arial" w:hAnsi="Arial"/>
          <w:sz w:val="24"/>
          <w:szCs w:val="24"/>
        </w:rPr>
        <w:t>8:00 do 15:00</w:t>
      </w:r>
      <w:r>
        <w:rPr>
          <w:rFonts w:cs="Calibri" w:ascii="Arial" w:hAnsi="Arial"/>
          <w:color w:val="2A2835"/>
          <w:sz w:val="24"/>
          <w:szCs w:val="24"/>
        </w:rPr>
        <w:t xml:space="preserve"> i nie będą trwają dłużej niż 6 godzin zegarowych dziennie,</w:t>
      </w:r>
    </w:p>
    <w:p>
      <w:pPr>
        <w:pStyle w:val="NoSpacing"/>
        <w:numPr>
          <w:ilvl w:val="0"/>
          <w:numId w:val="33"/>
        </w:numPr>
        <w:ind w:left="1418" w:hanging="360"/>
        <w:jc w:val="left"/>
        <w:rPr>
          <w:rFonts w:ascii="Arial Narrow" w:hAnsi="Arial Narrow" w:cs="Segoe UI"/>
        </w:rPr>
      </w:pPr>
      <w:r>
        <w:rPr>
          <w:rFonts w:cs="Calibri" w:ascii="Arial" w:hAnsi="Arial"/>
          <w:color w:val="2A2835"/>
          <w:sz w:val="24"/>
          <w:szCs w:val="24"/>
        </w:rPr>
        <w:t>zajęcia powinny odbywać się w formie stacjonarnej i online (instruktaż/szkolenie z grupą szkoleniową w czasie rzeczywistym, on-line, za pomocą elektronicznych środków komunikacji na odległość),</w:t>
      </w:r>
    </w:p>
    <w:p>
      <w:pPr>
        <w:pStyle w:val="NoSpacing"/>
        <w:numPr>
          <w:ilvl w:val="0"/>
          <w:numId w:val="33"/>
        </w:numPr>
        <w:ind w:left="1418" w:hanging="360"/>
        <w:jc w:val="left"/>
        <w:rPr>
          <w:rFonts w:ascii="Arial Narrow" w:hAnsi="Arial Narrow" w:cs="Segoe UI"/>
        </w:rPr>
      </w:pPr>
      <w:r>
        <w:rPr>
          <w:rFonts w:cs="Calibri" w:ascii="Arial" w:hAnsi="Arial"/>
          <w:color w:val="2A2835"/>
          <w:sz w:val="24"/>
          <w:szCs w:val="24"/>
        </w:rPr>
        <w:t>zajęcia powinny być prowadzone metodą warsztatów aktywizującą uczestników szkoleń,</w:t>
      </w:r>
    </w:p>
    <w:p>
      <w:pPr>
        <w:pStyle w:val="NoSpacing"/>
        <w:numPr>
          <w:ilvl w:val="0"/>
          <w:numId w:val="33"/>
        </w:numPr>
        <w:ind w:left="1418" w:hanging="360"/>
        <w:jc w:val="left"/>
        <w:rPr>
          <w:rFonts w:ascii="Arial Narrow" w:hAnsi="Arial Narrow" w:cs="Segoe UI"/>
        </w:rPr>
      </w:pPr>
      <w:r>
        <w:rPr>
          <w:rFonts w:cs="Calibri" w:ascii="Arial" w:hAnsi="Arial"/>
          <w:color w:val="2A2835"/>
          <w:sz w:val="24"/>
          <w:szCs w:val="24"/>
        </w:rPr>
        <w:t>grupy szkoleniowe powinny liczyć nie więcej niż 15 osób.</w:t>
      </w:r>
    </w:p>
    <w:p>
      <w:pPr>
        <w:pStyle w:val="NoSpacing"/>
        <w:numPr>
          <w:ilvl w:val="0"/>
          <w:numId w:val="32"/>
        </w:numPr>
        <w:ind w:left="1134" w:hanging="360"/>
        <w:jc w:val="left"/>
        <w:rPr>
          <w:rFonts w:ascii="Arial Narrow" w:hAnsi="Arial Narrow" w:cs="Segoe UI"/>
        </w:rPr>
      </w:pPr>
      <w:r>
        <w:rPr>
          <w:rFonts w:cs="Calibri" w:ascii="Arial" w:hAnsi="Arial"/>
          <w:color w:val="2A2835"/>
          <w:sz w:val="24"/>
          <w:szCs w:val="24"/>
        </w:rPr>
        <w:t>Merytorycznie.</w:t>
      </w:r>
    </w:p>
    <w:p>
      <w:pPr>
        <w:pStyle w:val="NoSpacing"/>
        <w:ind w:left="426" w:firstLine="708"/>
        <w:jc w:val="left"/>
        <w:rPr>
          <w:rFonts w:ascii="Arial" w:hAnsi="Arial"/>
          <w:sz w:val="24"/>
          <w:szCs w:val="24"/>
        </w:rPr>
      </w:pPr>
      <w:r>
        <w:rPr>
          <w:rFonts w:cs="Calibri" w:ascii="Arial" w:hAnsi="Arial"/>
          <w:color w:val="2A2835"/>
          <w:sz w:val="24"/>
          <w:szCs w:val="24"/>
        </w:rPr>
        <w:t>Możliwość realizacji szkoleń dla użytkowników systemu w wybranym zakresie.</w:t>
      </w:r>
    </w:p>
    <w:p>
      <w:pPr>
        <w:pStyle w:val="NoSpacing"/>
        <w:ind w:left="426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 xml:space="preserve">Obsługa zgłoszeń (awarii) dotyczących tego systemu powinna przebiegać na następujących zasadach: </w:t>
      </w:r>
    </w:p>
    <w:p>
      <w:pPr>
        <w:pStyle w:val="NoSpacing"/>
        <w:numPr>
          <w:ilvl w:val="0"/>
          <w:numId w:val="31"/>
        </w:numPr>
        <w:ind w:left="1134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typ zgłoszenia A – awarie w przypadku których aplikacja nie uruchamia się oraz w przypadku, gdy nie działa główna funkcjonalność w okresie, w którym przepisy powszechnie obowiązującego prawa wymuszają jej użycie i brak jest obejścia dla takiej awarii – do 2 dni roboczych;</w:t>
      </w:r>
    </w:p>
    <w:p>
      <w:pPr>
        <w:pStyle w:val="NoSpacing"/>
        <w:numPr>
          <w:ilvl w:val="0"/>
          <w:numId w:val="31"/>
        </w:numPr>
        <w:ind w:left="1134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typ zgłoszenia B – awarie gdy nie działa główna funkcjonalność w okresie, w którym przepisy powszechnie obowiązującego prawa wymuszają jej użycie i jest tzw. „obejście” – tj. można uzyskać rezultat za pomocą innych działań w systemie – do 7 dni roboczych;</w:t>
      </w:r>
    </w:p>
    <w:p>
      <w:pPr>
        <w:pStyle w:val="NoSpacing"/>
        <w:numPr>
          <w:ilvl w:val="0"/>
          <w:numId w:val="31"/>
        </w:numPr>
        <w:ind w:left="1134" w:hanging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typ zgłoszenia C – pozostałe błędy Terminy obsługi zgłoszeń ilekroć użyto miary czasu (godziny i dni) należy przez to rozumieć czas roboczy – do 60 dni roboczych.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left"/>
        <w:rPr>
          <w:rFonts w:ascii="Arial Narrow" w:hAnsi="Arial Narrow"/>
          <w:b/>
          <w:b/>
        </w:rPr>
      </w:pPr>
      <w:r>
        <w:rPr>
          <w:rFonts w:ascii="Arial" w:hAnsi="Arial"/>
          <w:sz w:val="24"/>
          <w:szCs w:val="24"/>
        </w:rPr>
        <w:t>Zgłoszenia będą dokonywane w dni robocze (poniedziałek – piątek) od godziny 8:00 do 15:00.</w:t>
      </w:r>
    </w:p>
    <w:p>
      <w:pPr>
        <w:pStyle w:val="Normal"/>
        <w:shd w:val="clear" w:color="auto" w:fill="FFFFFF"/>
        <w:spacing w:lineRule="auto" w:line="480" w:before="240" w:after="0"/>
        <w:ind w:left="360" w:firstLine="66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Szczegółowe ustalenia będzie zawierała umowa zawarta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dostawcą oferującym najniższą cenę.</w:t>
      </w:r>
    </w:p>
    <w:p>
      <w:pPr>
        <w:pStyle w:val="Normal"/>
        <w:shd w:val="clear" w:color="auto" w:fill="FFFFFF"/>
        <w:spacing w:lineRule="auto" w:line="240" w:before="0" w:after="0"/>
        <w:ind w:left="360" w:firstLine="66"/>
        <w:jc w:val="left"/>
        <w:rPr>
          <w:rFonts w:ascii="Arial Narrow" w:hAnsi="Arial Narrow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Załącznikiem do umowy musi być ww. opis przedmiotu zamówienia.</w:t>
      </w:r>
    </w:p>
    <w:p>
      <w:pPr>
        <w:pStyle w:val="ListParagraph"/>
        <w:numPr>
          <w:ilvl w:val="0"/>
          <w:numId w:val="11"/>
        </w:numPr>
        <w:spacing w:before="240" w:after="0"/>
        <w:ind w:left="284" w:hanging="284"/>
        <w:contextualSpacing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>Warunki udziału w</w:t>
      </w:r>
      <w:r>
        <w:rPr>
          <w:rStyle w:val="FontStyle44"/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sz w:val="24"/>
          <w:szCs w:val="24"/>
        </w:rPr>
        <w:t>postępowaniu:</w:t>
      </w:r>
    </w:p>
    <w:p>
      <w:pPr>
        <w:pStyle w:val="Style14"/>
        <w:spacing w:lineRule="auto" w:line="276"/>
        <w:ind w:firstLine="426"/>
        <w:jc w:val="left"/>
        <w:rPr>
          <w:rFonts w:ascii="Arial Narrow" w:hAnsi="Arial Narrow"/>
          <w:sz w:val="22"/>
          <w:szCs w:val="22"/>
          <w:highlight w:val="white"/>
        </w:rPr>
      </w:pPr>
      <w:r>
        <w:rPr>
          <w:rFonts w:ascii="Arial" w:hAnsi="Arial"/>
          <w:sz w:val="24"/>
          <w:szCs w:val="24"/>
          <w:shd w:fill="FFFFFF" w:val="clear"/>
        </w:rPr>
        <w:t>Zdolność techniczna lub zawodowa.</w:t>
      </w:r>
    </w:p>
    <w:p>
      <w:pPr>
        <w:pStyle w:val="Style14"/>
        <w:spacing w:lineRule="auto" w:line="240"/>
        <w:ind w:left="426" w:hanging="0"/>
        <w:jc w:val="left"/>
        <w:rPr>
          <w:rFonts w:ascii="Arial Narrow" w:hAnsi="Arial Narrow"/>
          <w:sz w:val="22"/>
          <w:szCs w:val="22"/>
          <w:highlight w:val="white"/>
        </w:rPr>
      </w:pPr>
      <w:r>
        <w:rPr>
          <w:rFonts w:ascii="Arial" w:hAnsi="Arial"/>
          <w:sz w:val="24"/>
          <w:szCs w:val="24"/>
          <w:shd w:fill="FFFFFF" w:val="clear"/>
        </w:rPr>
        <w:t>Określenie warunków: bezwzględne posiadanie wiedzy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doświadczenia niezbędnego do wykonania przedmiotu zamówienia, tj. udokumentowanie wykonania,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okresie ostatnich trzech lat przed upływem terminu składania ofert, a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jeżeli okres prowadzenia działalności jest krótszy –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tym okresie, następujących usług:</w:t>
      </w:r>
    </w:p>
    <w:p>
      <w:pPr>
        <w:pStyle w:val="Style14"/>
        <w:numPr>
          <w:ilvl w:val="0"/>
          <w:numId w:val="16"/>
        </w:numPr>
        <w:spacing w:lineRule="auto" w:line="240"/>
        <w:ind w:left="993" w:hanging="360"/>
        <w:jc w:val="left"/>
        <w:rPr>
          <w:rFonts w:ascii="Arial Narrow" w:hAnsi="Arial Narrow"/>
          <w:sz w:val="22"/>
          <w:szCs w:val="22"/>
          <w:highlight w:val="white"/>
        </w:rPr>
      </w:pPr>
      <w:r>
        <w:rPr>
          <w:rFonts w:ascii="Arial" w:hAnsi="Arial"/>
          <w:sz w:val="24"/>
          <w:szCs w:val="24"/>
          <w:shd w:fill="FFFFFF" w:val="clear"/>
        </w:rPr>
        <w:t>co najmniej jednej usługi polegającej na świadczeniu przez okres co najmniej 9 miesięcy udostępnienia oraz utrzymania aplikacji do obsługi systemu finansowo-księgowego w</w:t>
      </w:r>
      <w:r>
        <w:rPr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szkołach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placówkach oświatowych;</w:t>
      </w:r>
    </w:p>
    <w:p>
      <w:pPr>
        <w:pStyle w:val="Style14"/>
        <w:numPr>
          <w:ilvl w:val="0"/>
          <w:numId w:val="16"/>
        </w:numPr>
        <w:spacing w:lineRule="auto" w:line="240"/>
        <w:ind w:left="993" w:hanging="360"/>
        <w:jc w:val="left"/>
        <w:rPr>
          <w:rFonts w:ascii="Arial Narrow" w:hAnsi="Arial Narrow"/>
          <w:sz w:val="22"/>
          <w:szCs w:val="22"/>
          <w:highlight w:val="white"/>
        </w:rPr>
      </w:pPr>
      <w:r>
        <w:rPr>
          <w:rFonts w:ascii="Arial" w:hAnsi="Arial"/>
          <w:sz w:val="24"/>
          <w:szCs w:val="24"/>
          <w:shd w:fill="FFFFFF" w:val="clear"/>
        </w:rPr>
        <w:t>co najmniej jednej usługi polegającej na świadczeniu przez okres co najmniej 9 miesięcy udostępnienia oraz utrzymania aplikacji do obsługi systemu kadrowego i płacowego w</w:t>
      </w:r>
      <w:r>
        <w:rPr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szkołach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placówkach oświatowych;</w:t>
      </w:r>
    </w:p>
    <w:p>
      <w:pPr>
        <w:pStyle w:val="Style14"/>
        <w:numPr>
          <w:ilvl w:val="0"/>
          <w:numId w:val="16"/>
        </w:numPr>
        <w:spacing w:lineRule="auto" w:line="240"/>
        <w:ind w:left="993" w:hanging="360"/>
        <w:jc w:val="left"/>
        <w:rPr>
          <w:rFonts w:ascii="Arial Narrow" w:hAnsi="Arial Narrow"/>
          <w:sz w:val="22"/>
          <w:szCs w:val="22"/>
          <w:highlight w:val="white"/>
        </w:rPr>
      </w:pPr>
      <w:r>
        <w:rPr>
          <w:rFonts w:ascii="Arial" w:hAnsi="Arial"/>
          <w:sz w:val="24"/>
          <w:szCs w:val="24"/>
          <w:shd w:fill="FFFFFF" w:val="clear"/>
        </w:rPr>
        <w:t>co najmniej jednej usługi polegającej na świadczeniu przez okres co najmniej 9 miesięcy udostępnienia oraz utrzymania aplikacji do obsługi jednorazowego dodatku uzupełniającego wynikającego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zapisów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art. 30a Karty Nauczyciela.</w:t>
      </w:r>
    </w:p>
    <w:p>
      <w:pPr>
        <w:pStyle w:val="Style14"/>
        <w:numPr>
          <w:ilvl w:val="0"/>
          <w:numId w:val="11"/>
        </w:numPr>
        <w:spacing w:lineRule="auto" w:line="276" w:before="240" w:after="0"/>
        <w:ind w:left="284" w:hanging="283"/>
        <w:jc w:val="left"/>
        <w:rPr>
          <w:rFonts w:ascii="Arial Narrow" w:hAnsi="Arial Narrow"/>
          <w:bCs/>
          <w:sz w:val="22"/>
          <w:szCs w:val="22"/>
          <w:highlight w:val="white"/>
        </w:rPr>
      </w:pPr>
      <w:r>
        <w:rPr>
          <w:rFonts w:ascii="Arial" w:hAnsi="Arial"/>
          <w:b/>
          <w:bCs/>
          <w:sz w:val="24"/>
          <w:szCs w:val="24"/>
          <w:shd w:fill="FFFFFF" w:val="clear"/>
        </w:rPr>
        <w:t>Wykaz dokumentów jakie mają być złożone wraz z ofertą:</w:t>
      </w:r>
    </w:p>
    <w:p>
      <w:pPr>
        <w:pStyle w:val="Style14"/>
        <w:spacing w:lineRule="auto" w:line="240"/>
        <w:ind w:left="426" w:hanging="0"/>
        <w:jc w:val="left"/>
        <w:rPr>
          <w:rFonts w:ascii="Arial Narrow" w:hAnsi="Arial Narrow"/>
          <w:bCs/>
          <w:sz w:val="22"/>
          <w:szCs w:val="22"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Wraz z ofertą Wykonawca dostarcza dokumenty poświadczające spełnienie warunków udziału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postępowaniu.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240" w:after="0"/>
        <w:ind w:left="284" w:hanging="283"/>
        <w:jc w:val="left"/>
        <w:rPr>
          <w:rFonts w:ascii="Arial Narrow" w:hAnsi="Arial Narrow" w:cs="Arial"/>
          <w:b/>
          <w:b/>
        </w:rPr>
      </w:pPr>
      <w:r>
        <w:rPr>
          <w:rFonts w:cs="Arial" w:ascii="Arial" w:hAnsi="Arial"/>
          <w:b/>
          <w:sz w:val="24"/>
          <w:szCs w:val="24"/>
        </w:rPr>
        <w:t>Termin wykonania zamówienia:</w:t>
      </w:r>
    </w:p>
    <w:p>
      <w:pPr>
        <w:pStyle w:val="NoSpacing"/>
        <w:numPr>
          <w:ilvl w:val="0"/>
          <w:numId w:val="14"/>
        </w:numPr>
        <w:jc w:val="left"/>
        <w:rPr>
          <w:rFonts w:ascii="Arial Narrow" w:hAnsi="Arial Narrow"/>
        </w:rPr>
      </w:pPr>
      <w:r>
        <w:rPr>
          <w:rFonts w:eastAsia="Times New Roman" w:cs="Times New Roman" w:ascii="Arial" w:hAnsi="Arial"/>
          <w:sz w:val="24"/>
          <w:szCs w:val="24"/>
          <w:lang w:eastAsia="pl-PL"/>
        </w:rPr>
        <w:t xml:space="preserve">System </w:t>
      </w:r>
      <w:r>
        <w:rPr>
          <w:rFonts w:ascii="Arial" w:hAnsi="Arial"/>
          <w:sz w:val="24"/>
          <w:szCs w:val="24"/>
        </w:rPr>
        <w:t>finansowo-księgowy od 1 lutego 2024 r.;</w:t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 w:before="0" w:after="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System kadrowy i płacowy od 1 lipca 2024 r.;</w:t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 w:before="0" w:after="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System Jednorazowy Dodatek Uzupełniający od 1 marca 2024 r.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240" w:after="0"/>
        <w:ind w:left="284" w:hanging="283"/>
        <w:jc w:val="left"/>
        <w:rPr>
          <w:rFonts w:ascii="Arial Narrow" w:hAnsi="Arial Narrow" w:cs="Arial"/>
          <w:b/>
          <w:b/>
        </w:rPr>
      </w:pPr>
      <w:r>
        <w:rPr>
          <w:rFonts w:cs="Arial" w:ascii="Arial" w:hAnsi="Arial"/>
          <w:b/>
          <w:sz w:val="24"/>
          <w:szCs w:val="24"/>
        </w:rPr>
        <w:t>Opis sposobu obliczenia ceny: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Kryterium oceny ofert – cena brutto 100%.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Wykonawca poda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ofercie cenę za wykonanie zamówienia netto i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brutto.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Podana cena musi obejmować wszystkie koszty z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 xml:space="preserve">uwzględnieniem wszystkich opłat, jakie poniesie </w:t>
      </w:r>
      <w:r>
        <w:rPr>
          <w:rFonts w:eastAsia="Times New Roman" w:cs="Times New Roman" w:ascii="Arial" w:hAnsi="Arial"/>
          <w:bCs/>
          <w:sz w:val="24"/>
          <w:szCs w:val="24"/>
          <w:lang w:eastAsia="pl-PL"/>
        </w:rPr>
        <w:t>Wykonawca</w:t>
      </w:r>
      <w:r>
        <w:rPr>
          <w:rFonts w:ascii="Arial" w:hAnsi="Arial"/>
          <w:sz w:val="24"/>
          <w:szCs w:val="24"/>
        </w:rPr>
        <w:t xml:space="preserve"> przy realizacji zamówienia.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Cena musi być podana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złotych polskich.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Wykonawca określi cenę zgodnie z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treścią zapytania ofertowego.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Cena określona przez Wykonawcę zostanie ustalona na okres obowiązywania umowy i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nie będzie podlegała zmianom.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Ocenie podlegać będzie cena brutto oferty za realizację zamówienia.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Wykonawcy zostaną poinformowani o wyborze najkorzystniejszej oferty na stronie internetowej BIP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zakładce Zamówienia publiczne oraz za pośrednictwem poczty elektronicznej, na adresy osób wskazanych w ofertach.</w:t>
      </w:r>
    </w:p>
    <w:p>
      <w:pPr>
        <w:pStyle w:val="NormalWeb"/>
        <w:numPr>
          <w:ilvl w:val="0"/>
          <w:numId w:val="11"/>
        </w:numPr>
        <w:spacing w:lineRule="auto" w:line="276" w:beforeAutospacing="0" w:before="240" w:afterAutospacing="0" w:after="0"/>
        <w:ind w:left="284" w:hanging="283"/>
        <w:jc w:val="left"/>
        <w:rPr>
          <w:rFonts w:ascii="Arial Narrow" w:hAnsi="Arial Narrow"/>
          <w:sz w:val="22"/>
          <w:szCs w:val="22"/>
        </w:rPr>
      </w:pPr>
      <w:r>
        <w:rPr>
          <w:rStyle w:val="Strong"/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Opis sposobu przygotowania oferty:</w:t>
      </w:r>
    </w:p>
    <w:p>
      <w:pPr>
        <w:pStyle w:val="NormalWeb"/>
        <w:spacing w:beforeAutospacing="0" w:before="0" w:afterAutospacing="0" w:after="0"/>
        <w:ind w:left="426" w:hanging="0"/>
        <w:jc w:val="left"/>
        <w:rPr>
          <w:rFonts w:ascii="Arial Narrow" w:hAnsi="Arial Narrow"/>
          <w:b/>
          <w:b/>
          <w:sz w:val="22"/>
          <w:szCs w:val="22"/>
        </w:rPr>
      </w:pPr>
      <w:r>
        <w:rPr>
          <w:rFonts w:ascii="Arial" w:hAnsi="Arial"/>
          <w:sz w:val="24"/>
          <w:szCs w:val="24"/>
        </w:rPr>
        <w:t>Wypełniony formularz oferty (Załącznik nr 1) powinien: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left="1134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4"/>
          <w:szCs w:val="24"/>
        </w:rPr>
        <w:t>być opatrzony pieczątką firmową,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left="1134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4"/>
          <w:szCs w:val="24"/>
        </w:rPr>
        <w:t>zawierać datę sporządzenia oferty,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left="1134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4"/>
          <w:szCs w:val="24"/>
        </w:rPr>
        <w:t>zawierać nazwę oraz adres lub siedzibę Wykonawcy, numery NIP i Regon, numer telefonu,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left="1134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4"/>
          <w:szCs w:val="24"/>
        </w:rPr>
        <w:t>być opatrzony podpisem osoby upoważnionej do składania ofert w imieniu Wykonawcy,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left="1134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4"/>
          <w:szCs w:val="24"/>
        </w:rPr>
        <w:t>zawierać cenę oferty netto i brutto.</w:t>
      </w:r>
    </w:p>
    <w:p>
      <w:pPr>
        <w:pStyle w:val="NormalWeb"/>
        <w:spacing w:lineRule="auto" w:line="276" w:beforeAutospacing="0" w:before="240" w:afterAutospacing="0" w:after="0"/>
        <w:ind w:left="284" w:hanging="284"/>
        <w:jc w:val="left"/>
        <w:rPr>
          <w:rFonts w:ascii="Arial Narrow" w:hAnsi="Arial Narrow"/>
          <w:b/>
          <w:b/>
          <w:sz w:val="22"/>
          <w:szCs w:val="22"/>
        </w:rPr>
      </w:pPr>
      <w:r>
        <w:rPr>
          <w:rFonts w:ascii="Arial" w:hAnsi="Arial"/>
          <w:b/>
          <w:sz w:val="24"/>
          <w:szCs w:val="24"/>
        </w:rPr>
        <w:t>VIII. Termin i forma składania ofert:</w:t>
      </w:r>
    </w:p>
    <w:p>
      <w:pPr>
        <w:pStyle w:val="Default"/>
        <w:numPr>
          <w:ilvl w:val="0"/>
          <w:numId w:val="9"/>
        </w:numPr>
        <w:jc w:val="left"/>
        <w:rPr>
          <w:rFonts w:ascii="Arial Narrow" w:hAnsi="Arial Narrow"/>
          <w:bCs/>
          <w:color w:val="auto"/>
          <w:sz w:val="22"/>
          <w:szCs w:val="22"/>
        </w:rPr>
      </w:pPr>
      <w:r>
        <w:rPr>
          <w:rFonts w:ascii="Arial" w:hAnsi="Arial"/>
          <w:color w:val="auto"/>
          <w:sz w:val="24"/>
          <w:szCs w:val="24"/>
        </w:rPr>
        <w:t>Ofertę</w:t>
      </w:r>
      <w:r>
        <w:rPr>
          <w:rFonts w:ascii="Arial" w:hAnsi="Arial"/>
          <w:bCs/>
          <w:color w:val="auto"/>
          <w:sz w:val="24"/>
          <w:szCs w:val="24"/>
        </w:rPr>
        <w:t xml:space="preserve"> należy złożyć na formularzu ofertowym </w:t>
      </w:r>
      <w:r>
        <w:rPr>
          <w:rFonts w:ascii="Arial" w:hAnsi="Arial"/>
          <w:color w:val="auto"/>
          <w:sz w:val="24"/>
          <w:szCs w:val="24"/>
        </w:rPr>
        <w:t>stanowiącym Załącznik nr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1 do niniejszego Zapytania ofertowego.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left"/>
        <w:rPr/>
      </w:pPr>
      <w:r>
        <w:rPr>
          <w:rFonts w:ascii="Arial" w:hAnsi="Arial"/>
          <w:sz w:val="24"/>
          <w:szCs w:val="24"/>
        </w:rPr>
        <w:t>Ofertę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 xml:space="preserve">terminie </w:t>
      </w:r>
      <w:r>
        <w:rPr>
          <w:rFonts w:ascii="Arial" w:hAnsi="Arial"/>
          <w:b/>
          <w:bCs/>
          <w:sz w:val="24"/>
          <w:szCs w:val="24"/>
        </w:rPr>
        <w:t>do dnia 21 grudnia 2023 roku do godz. 12:00</w:t>
      </w:r>
      <w:r>
        <w:rPr>
          <w:rFonts w:ascii="Arial" w:hAnsi="Arial"/>
          <w:bCs/>
          <w:sz w:val="24"/>
          <w:szCs w:val="24"/>
        </w:rPr>
        <w:t xml:space="preserve"> (liczy się data wpływu) należy przesłać na adres e-mail: </w:t>
      </w:r>
      <w:hyperlink r:id="rId2">
        <w:r>
          <w:rPr>
            <w:rStyle w:val="Czeinternetowe"/>
            <w:rFonts w:ascii="Arial" w:hAnsi="Arial"/>
            <w:bCs/>
            <w:color w:val="auto"/>
            <w:sz w:val="24"/>
            <w:szCs w:val="24"/>
            <w:u w:val="none"/>
          </w:rPr>
          <w:t>akowalska@cuwpo.wloclawek.pl</w:t>
        </w:r>
      </w:hyperlink>
      <w:r>
        <w:rPr>
          <w:rFonts w:ascii="Arial" w:hAnsi="Arial"/>
          <w:bCs/>
          <w:sz w:val="24"/>
          <w:szCs w:val="24"/>
        </w:rPr>
        <w:t>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left"/>
        <w:rPr>
          <w:rFonts w:ascii="Arial Narrow" w:hAnsi="Arial Narrow" w:cs="Arial"/>
        </w:rPr>
      </w:pPr>
      <w:r>
        <w:rPr>
          <w:rFonts w:cs="Arial" w:ascii="Arial" w:hAnsi="Arial"/>
          <w:sz w:val="24"/>
          <w:szCs w:val="24"/>
        </w:rPr>
        <w:t>Oferty złożone po terminie nie będą rozpatrywane.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left"/>
        <w:rPr>
          <w:rFonts w:ascii="Arial Narrow" w:hAnsi="Arial Narrow" w:cs="Arial"/>
        </w:rPr>
      </w:pPr>
      <w:r>
        <w:rPr>
          <w:rFonts w:cs="Arial" w:ascii="Arial" w:hAnsi="Arial"/>
          <w:sz w:val="24"/>
          <w:szCs w:val="24"/>
        </w:rPr>
        <w:t>Wykonawca może złożyć tylko jedną ofertę.</w:t>
      </w:r>
    </w:p>
    <w:p>
      <w:pPr>
        <w:pStyle w:val="Default"/>
        <w:numPr>
          <w:ilvl w:val="0"/>
          <w:numId w:val="9"/>
        </w:numPr>
        <w:jc w:val="left"/>
        <w:rPr>
          <w:rFonts w:ascii="Arial Narrow" w:hAnsi="Arial Narrow"/>
          <w:color w:val="auto"/>
          <w:sz w:val="22"/>
          <w:szCs w:val="22"/>
        </w:rPr>
      </w:pPr>
      <w:r>
        <w:rPr>
          <w:rFonts w:ascii="Arial" w:hAnsi="Arial"/>
          <w:color w:val="auto"/>
          <w:sz w:val="24"/>
          <w:szCs w:val="24"/>
        </w:rPr>
        <w:t>Wykonawca może przed upływem terminu składania ofert zmieniać lub wycofać swoją ofertę.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Zamawiający nie dopuszcza możliwości składania ofert częściowych.</w:t>
      </w:r>
    </w:p>
    <w:p>
      <w:pPr>
        <w:pStyle w:val="Default"/>
        <w:numPr>
          <w:ilvl w:val="0"/>
          <w:numId w:val="9"/>
        </w:numPr>
        <w:jc w:val="left"/>
        <w:rPr>
          <w:rFonts w:ascii="Arial Narrow" w:hAnsi="Arial Narrow"/>
          <w:color w:val="auto"/>
          <w:sz w:val="22"/>
          <w:szCs w:val="22"/>
        </w:rPr>
      </w:pPr>
      <w:r>
        <w:rPr>
          <w:rFonts w:ascii="Arial" w:hAnsi="Arial"/>
          <w:color w:val="auto"/>
          <w:sz w:val="24"/>
          <w:szCs w:val="24"/>
        </w:rPr>
        <w:t>W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toku badania i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oceny oferty Zamawiający może żądać od Wykonawcy wyjaśnień dotyczących treści złożonej oferty lub uzupełnienia brakujących dokumentów.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left"/>
        <w:rPr>
          <w:rFonts w:ascii="Arial Narrow" w:hAnsi="Arial Narrow" w:cs="Arial"/>
        </w:rPr>
      </w:pPr>
      <w:r>
        <w:rPr>
          <w:rFonts w:ascii="Arial" w:hAnsi="Arial"/>
          <w:bCs/>
          <w:sz w:val="24"/>
          <w:szCs w:val="24"/>
        </w:rPr>
        <w:t>Zamawiający zastrzega sobie prawo do unieważnienia postępowania bez podania przyczyny.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left"/>
        <w:rPr>
          <w:rFonts w:ascii="Arial Narrow" w:hAnsi="Arial Narrow" w:cs="Arial"/>
        </w:rPr>
      </w:pPr>
      <w:r>
        <w:rPr>
          <w:rFonts w:ascii="Arial" w:hAnsi="Arial"/>
          <w:bCs/>
          <w:sz w:val="24"/>
          <w:szCs w:val="24"/>
        </w:rPr>
        <w:t>Zaznaczamy, że oficjalnym potwierdzeniem chęci realizacji zamówienia przez Zamawiającego jest wysłanie zamówienia lub podpisanie umowy.</w:t>
      </w:r>
    </w:p>
    <w:p>
      <w:pPr>
        <w:pStyle w:val="ListParagraph"/>
        <w:numPr>
          <w:ilvl w:val="0"/>
          <w:numId w:val="12"/>
        </w:numPr>
        <w:shd w:val="clear" w:color="auto" w:fill="FFFFFF"/>
        <w:spacing w:before="240" w:after="0"/>
        <w:ind w:left="284" w:hanging="284"/>
        <w:contextualSpacing/>
        <w:jc w:val="left"/>
        <w:rPr>
          <w:rFonts w:ascii="Arial Narrow" w:hAnsi="Arial Narrow" w:cs="Arial"/>
          <w:b/>
          <w:b/>
        </w:rPr>
      </w:pPr>
      <w:r>
        <w:rPr>
          <w:rFonts w:cs="Arial" w:ascii="Arial" w:hAnsi="Arial"/>
          <w:b/>
          <w:sz w:val="24"/>
          <w:szCs w:val="24"/>
        </w:rPr>
        <w:t>Termin związania ofertą:</w:t>
      </w:r>
    </w:p>
    <w:p>
      <w:pPr>
        <w:pStyle w:val="Normal"/>
        <w:shd w:val="clear" w:color="auto" w:fill="FFFFFF"/>
        <w:spacing w:lineRule="auto" w:line="240" w:before="0" w:after="0"/>
        <w:ind w:left="426" w:hanging="0"/>
        <w:jc w:val="left"/>
        <w:rPr>
          <w:rFonts w:ascii="Arial Narrow" w:hAnsi="Arial Narrow" w:cs="Arial"/>
        </w:rPr>
      </w:pPr>
      <w:r>
        <w:rPr>
          <w:rFonts w:cs="Arial" w:ascii="Arial" w:hAnsi="Arial"/>
          <w:sz w:val="24"/>
          <w:szCs w:val="24"/>
        </w:rPr>
        <w:t>30 dni od terminu składania ofert.</w:t>
      </w:r>
    </w:p>
    <w:p>
      <w:pPr>
        <w:pStyle w:val="ListParagraph"/>
        <w:numPr>
          <w:ilvl w:val="0"/>
          <w:numId w:val="12"/>
        </w:numPr>
        <w:shd w:val="clear" w:color="auto" w:fill="FFFFFF"/>
        <w:spacing w:lineRule="auto" w:line="240" w:before="240" w:after="0"/>
        <w:ind w:left="284" w:hanging="284"/>
        <w:contextualSpacing/>
        <w:jc w:val="left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Istotne postanowienia umowy lub wzór umowy, jeżeli zamawiający wymaga zawarcia umowy na określonych przez siebie warunkach: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left"/>
        <w:rPr>
          <w:rFonts w:ascii="Arial Narrow" w:hAnsi="Arial Narrow" w:cs="Arial"/>
          <w:b/>
          <w:b/>
        </w:rPr>
      </w:pPr>
      <w:r>
        <w:rPr>
          <w:rFonts w:cs="Arial" w:ascii="Arial" w:hAnsi="Arial"/>
          <w:b/>
          <w:sz w:val="24"/>
          <w:szCs w:val="24"/>
        </w:rPr>
        <w:t>Zamawiający nie określa wzoru umowy, ale wymaga w</w:t>
      </w:r>
      <w:r>
        <w:rPr>
          <w:rStyle w:val="FontStyle44"/>
          <w:rFonts w:ascii="Arial" w:hAnsi="Arial"/>
          <w:b/>
          <w:sz w:val="24"/>
          <w:szCs w:val="24"/>
        </w:rPr>
        <w:t> </w:t>
      </w:r>
      <w:r>
        <w:rPr>
          <w:rFonts w:cs="Arial" w:ascii="Arial" w:hAnsi="Arial"/>
          <w:b/>
          <w:sz w:val="24"/>
          <w:szCs w:val="24"/>
        </w:rPr>
        <w:t>zawartej umowie następujących zapisów:</w:t>
      </w:r>
    </w:p>
    <w:p>
      <w:pPr>
        <w:pStyle w:val="ListParagraph"/>
        <w:numPr>
          <w:ilvl w:val="1"/>
          <w:numId w:val="17"/>
        </w:numPr>
        <w:shd w:val="clear" w:color="auto" w:fill="FFFFFF"/>
        <w:spacing w:lineRule="auto" w:line="240" w:before="0" w:after="0"/>
        <w:ind w:left="1134" w:hanging="36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Płatności wynikające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umowy będą regulowane za pośrednictwem metody podzielonej płatności (split payment).</w:t>
      </w:r>
    </w:p>
    <w:p>
      <w:pPr>
        <w:pStyle w:val="ListParagraph"/>
        <w:numPr>
          <w:ilvl w:val="1"/>
          <w:numId w:val="17"/>
        </w:numPr>
        <w:shd w:val="clear" w:color="auto" w:fill="FFFFFF"/>
        <w:spacing w:lineRule="auto" w:line="240" w:before="0" w:after="0"/>
        <w:ind w:left="1134" w:hanging="36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Wykonawca oświadcza, że jest zarejestrowanym czynnym podatnikiem VAT.</w:t>
      </w:r>
    </w:p>
    <w:p>
      <w:pPr>
        <w:pStyle w:val="ListParagraph"/>
        <w:numPr>
          <w:ilvl w:val="1"/>
          <w:numId w:val="17"/>
        </w:numPr>
        <w:shd w:val="clear" w:color="auto" w:fill="FFFFFF"/>
        <w:spacing w:lineRule="auto" w:line="240" w:before="0" w:after="0"/>
        <w:ind w:left="1134" w:hanging="36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Wykonawca oświadcza, że jest właścicielem wskazanego do płatności rachunku bankowego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że został do niego utworzony wydzielony rachunek VAT na cele prowadzonej działalności gospodarczej.</w:t>
      </w:r>
    </w:p>
    <w:p>
      <w:pPr>
        <w:pStyle w:val="ListParagraph"/>
        <w:numPr>
          <w:ilvl w:val="1"/>
          <w:numId w:val="17"/>
        </w:numPr>
        <w:shd w:val="clear" w:color="auto" w:fill="FFFFFF"/>
        <w:spacing w:lineRule="auto" w:line="240" w:before="0" w:after="0"/>
        <w:ind w:left="1134" w:hanging="36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 xml:space="preserve">Zapłata zostanie dokonana na konto </w:t>
      </w:r>
      <w:r>
        <w:rPr>
          <w:rFonts w:eastAsia="Times New Roman" w:cs="Times New Roman" w:ascii="Arial" w:hAnsi="Arial"/>
          <w:bCs/>
          <w:sz w:val="24"/>
          <w:szCs w:val="24"/>
          <w:lang w:eastAsia="pl-PL"/>
        </w:rPr>
        <w:t>podane na fakturze, w</w:t>
      </w:r>
      <w:r>
        <w:rPr>
          <w:rFonts w:ascii="Arial" w:hAnsi="Arial"/>
          <w:sz w:val="24"/>
          <w:szCs w:val="24"/>
          <w:lang w:eastAsia="pl-PL"/>
        </w:rPr>
        <w:t> </w:t>
      </w:r>
      <w:r>
        <w:rPr>
          <w:rFonts w:eastAsia="Times New Roman" w:cs="Times New Roman" w:ascii="Arial" w:hAnsi="Arial"/>
          <w:bCs/>
          <w:sz w:val="24"/>
          <w:szCs w:val="24"/>
          <w:lang w:eastAsia="pl-PL"/>
        </w:rPr>
        <w:t>ciągu 14 dni od dnia otrzymania prawidłowo wystawionej faktury przez Wykonawcę,</w:t>
      </w:r>
      <w:r>
        <w:rPr>
          <w:rFonts w:ascii="Arial" w:hAnsi="Arial"/>
          <w:bCs/>
          <w:sz w:val="24"/>
          <w:szCs w:val="24"/>
          <w:shd w:fill="FFFFFF" w:val="clear"/>
        </w:rPr>
        <w:t xml:space="preserve"> zgłoszone w wykazie podmiotów,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którym mowa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art. 96b ust. 1 ustawy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dnia 11 marca 2004 r. o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podatku od towarów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usług (dalej biała lista podatników) pod rygorem odmowy zapłaty.</w:t>
      </w:r>
    </w:p>
    <w:p>
      <w:pPr>
        <w:pStyle w:val="ListParagraph"/>
        <w:shd w:val="clear" w:color="auto" w:fill="FFFFFF"/>
        <w:spacing w:lineRule="auto" w:line="240" w:before="0" w:after="0"/>
        <w:ind w:left="1134" w:hanging="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przypadku:</w:t>
      </w:r>
    </w:p>
    <w:p>
      <w:pPr>
        <w:pStyle w:val="ListParagraph"/>
        <w:numPr>
          <w:ilvl w:val="0"/>
          <w:numId w:val="18"/>
        </w:numPr>
        <w:shd w:val="clear" w:color="auto" w:fill="FFFFFF"/>
        <w:spacing w:lineRule="auto" w:line="240" w:before="0" w:after="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braku na białej liście podatników rachunku bankowego wskazanego do zapłaty, zapłata zostanie przelana na pierwszy rachunek bankowy znajdujący się na białej liście podatników,</w:t>
      </w:r>
    </w:p>
    <w:p>
      <w:pPr>
        <w:pStyle w:val="ListParagraph"/>
        <w:numPr>
          <w:ilvl w:val="0"/>
          <w:numId w:val="18"/>
        </w:numPr>
        <w:shd w:val="clear" w:color="auto" w:fill="FFFFFF"/>
        <w:spacing w:lineRule="auto" w:line="240" w:before="0" w:after="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nie zarejestrowania żadnego rachunku bankowego na białej liście podatników, zapłata będzie wstrzymana do czasu zamieszczenia numeru konta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wykazie podmiotów,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którym mowa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art. 96b ust. 1 ustawy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dnia 11 marca 2004 r.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podatku od towarów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usług, przy czym Zamawiający nie ponosi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takim razie odpowiedzialności za opóźnienie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zapłacie.</w:t>
      </w:r>
    </w:p>
    <w:p>
      <w:pPr>
        <w:pStyle w:val="ListParagraph"/>
        <w:numPr>
          <w:ilvl w:val="0"/>
          <w:numId w:val="19"/>
        </w:numPr>
        <w:shd w:val="clear" w:color="auto" w:fill="FFFFFF"/>
        <w:spacing w:lineRule="auto" w:line="240" w:before="0" w:after="0"/>
        <w:ind w:left="1134" w:hanging="36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Zapisy ust. od 1 do 4 mają zastosowanie do Wykonawcy będącego płatnikiem podatku od towarów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usług VAT.</w:t>
      </w:r>
    </w:p>
    <w:p>
      <w:pPr>
        <w:pStyle w:val="ListParagraph"/>
        <w:numPr>
          <w:ilvl w:val="0"/>
          <w:numId w:val="19"/>
        </w:numPr>
        <w:shd w:val="clear" w:color="auto" w:fill="FFFFFF"/>
        <w:spacing w:lineRule="auto" w:line="240" w:before="0" w:after="0"/>
        <w:ind w:left="1134" w:hanging="36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Faktury będą wystawiane na:</w:t>
      </w:r>
    </w:p>
    <w:p>
      <w:pPr>
        <w:pStyle w:val="ListParagraph"/>
        <w:shd w:val="clear" w:color="auto" w:fill="FFFFFF"/>
        <w:spacing w:lineRule="auto" w:line="240" w:before="0" w:after="0"/>
        <w:ind w:left="1134" w:hanging="0"/>
        <w:contextualSpacing/>
        <w:jc w:val="left"/>
        <w:rPr>
          <w:rFonts w:ascii="Arial Narrow" w:hAnsi="Arial Narrow"/>
          <w:bCs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NABYWCA: Gmina Miasto Włocławek, Zielony Rynek 11/13, 87-800 Włocławek, NIP: 888-30-31-255.</w:t>
      </w:r>
    </w:p>
    <w:p>
      <w:pPr>
        <w:pStyle w:val="Default"/>
        <w:ind w:left="1134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  <w:shd w:fill="FFFFFF" w:val="clear"/>
        </w:rPr>
        <w:t xml:space="preserve">ODBIORCA: </w:t>
      </w:r>
      <w:r>
        <w:rPr>
          <w:rFonts w:ascii="Arial" w:hAnsi="Arial"/>
          <w:color w:val="auto"/>
          <w:sz w:val="24"/>
          <w:szCs w:val="24"/>
        </w:rPr>
        <w:t>Centrum Usług Wspólnych Placówek Oświatowych, ul.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Wojska Polskiego 27, 87-800 Włocławek.</w:t>
      </w:r>
    </w:p>
    <w:p>
      <w:pPr>
        <w:pStyle w:val="Normal"/>
        <w:shd w:val="clear" w:color="auto" w:fill="FFFFFF"/>
        <w:spacing w:lineRule="auto" w:line="240" w:before="0" w:after="0"/>
        <w:ind w:left="426" w:hanging="0"/>
        <w:jc w:val="left"/>
        <w:rPr>
          <w:rFonts w:ascii="Arial Narrow" w:hAnsi="Arial Narrow"/>
          <w:b/>
          <w:b/>
          <w:highlight w:val="white"/>
        </w:rPr>
      </w:pPr>
      <w:r>
        <w:rPr>
          <w:rFonts w:ascii="Arial" w:hAnsi="Arial"/>
          <w:bCs/>
          <w:sz w:val="24"/>
          <w:szCs w:val="24"/>
          <w:shd w:fill="FFFFFF" w:val="clear"/>
        </w:rPr>
        <w:t>Ponadto załącznikiem do umowy powinien być opisany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 xml:space="preserve">niniejszym formularzu ofertowym </w:t>
      </w:r>
      <w:r>
        <w:rPr>
          <w:rFonts w:ascii="Arial" w:hAnsi="Arial"/>
          <w:b/>
          <w:sz w:val="24"/>
          <w:szCs w:val="24"/>
          <w:shd w:fill="FFFFFF" w:val="clear"/>
        </w:rPr>
        <w:t>opis przedmiotu zamówienia.</w:t>
      </w:r>
    </w:p>
    <w:p>
      <w:pPr>
        <w:pStyle w:val="ListParagraph"/>
        <w:numPr>
          <w:ilvl w:val="0"/>
          <w:numId w:val="12"/>
        </w:numPr>
        <w:shd w:val="clear" w:color="auto" w:fill="FFFFFF"/>
        <w:spacing w:before="240" w:after="0"/>
        <w:ind w:left="284" w:hanging="284"/>
        <w:contextualSpacing/>
        <w:jc w:val="left"/>
        <w:rPr>
          <w:rFonts w:ascii="Arial Narrow" w:hAnsi="Arial Narrow" w:cs="Arial"/>
          <w:b/>
          <w:b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Dodatkowe informacje:</w:t>
      </w:r>
    </w:p>
    <w:p>
      <w:pPr>
        <w:pStyle w:val="Default"/>
        <w:ind w:left="426" w:hanging="0"/>
        <w:jc w:val="left"/>
        <w:rPr/>
      </w:pPr>
      <w:r>
        <w:rPr>
          <w:rFonts w:ascii="Arial" w:hAnsi="Arial"/>
          <w:color w:val="auto"/>
          <w:sz w:val="24"/>
          <w:szCs w:val="24"/>
        </w:rPr>
        <w:t>Aneta Kowalska, Inspektor ds. zamówień publicznych, numer telefonu 54/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427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03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 xml:space="preserve">67, adres e-mail: </w:t>
      </w:r>
      <w:hyperlink r:id="rId3">
        <w:r>
          <w:rPr>
            <w:rStyle w:val="Czeinternetowe"/>
            <w:rFonts w:ascii="Arial" w:hAnsi="Arial"/>
            <w:bCs/>
            <w:color w:val="auto"/>
            <w:sz w:val="24"/>
            <w:szCs w:val="24"/>
            <w:u w:val="none"/>
          </w:rPr>
          <w:t>akowalska@cuwpo.wloclawek.pl</w:t>
        </w:r>
      </w:hyperlink>
      <w:r>
        <w:rPr>
          <w:rFonts w:ascii="Arial" w:hAnsi="Arial"/>
          <w:color w:val="auto"/>
          <w:sz w:val="24"/>
          <w:szCs w:val="24"/>
        </w:rPr>
        <w:t>.</w:t>
      </w:r>
    </w:p>
    <w:p>
      <w:pPr>
        <w:pStyle w:val="Default"/>
        <w:spacing w:lineRule="auto" w:line="276" w:before="240" w:after="0"/>
        <w:jc w:val="left"/>
        <w:rPr>
          <w:rFonts w:ascii="Arial Narrow" w:hAnsi="Arial Narrow"/>
          <w:b/>
          <w:b/>
          <w:color w:val="auto"/>
          <w:sz w:val="22"/>
          <w:szCs w:val="22"/>
        </w:rPr>
      </w:pPr>
      <w:r>
        <w:rPr>
          <w:rFonts w:ascii="Arial" w:hAnsi="Arial"/>
          <w:b/>
          <w:color w:val="auto"/>
          <w:sz w:val="24"/>
          <w:szCs w:val="24"/>
        </w:rPr>
        <w:t>XII. Załączniki: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Załącznik nr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1 – Formularz oferty.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Klauzula informacyjna – zamówienia publiczne.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3"/>
      <w:numFmt w:val="upperRoman"/>
      <w:lvlText w:val="%1."/>
      <w:lvlJc w:val="left"/>
      <w:pPr>
        <w:ind w:left="1080" w:hanging="720"/>
      </w:pPr>
      <w:rPr>
        <w:sz w:val="22"/>
        <w:b/>
        <w:rFonts w:ascii="Arial Narrow" w:hAnsi="Arial Narrow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9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770" w:hanging="6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)"/>
      <w:lvlJc w:val="left"/>
      <w:pPr>
        <w:ind w:left="367" w:hanging="360"/>
      </w:pPr>
    </w:lvl>
    <w:lvl w:ilvl="1">
      <w:start w:val="1"/>
      <w:numFmt w:val="lowerLetter"/>
      <w:lvlText w:val="%2."/>
      <w:lvlJc w:val="left"/>
      <w:pPr>
        <w:ind w:left="1087" w:hanging="360"/>
      </w:pPr>
    </w:lvl>
    <w:lvl w:ilvl="2">
      <w:start w:val="1"/>
      <w:numFmt w:val="lowerRoman"/>
      <w:lvlText w:val="%3."/>
      <w:lvlJc w:val="right"/>
      <w:pPr>
        <w:ind w:left="1807" w:hanging="180"/>
      </w:pPr>
    </w:lvl>
    <w:lvl w:ilvl="3">
      <w:start w:val="1"/>
      <w:numFmt w:val="decimal"/>
      <w:lvlText w:val="%4."/>
      <w:lvlJc w:val="left"/>
      <w:pPr>
        <w:ind w:left="2527" w:hanging="360"/>
      </w:pPr>
    </w:lvl>
    <w:lvl w:ilvl="4">
      <w:start w:val="1"/>
      <w:numFmt w:val="lowerLetter"/>
      <w:lvlText w:val="%5."/>
      <w:lvlJc w:val="left"/>
      <w:pPr>
        <w:ind w:left="3247" w:hanging="360"/>
      </w:pPr>
    </w:lvl>
    <w:lvl w:ilvl="5">
      <w:start w:val="1"/>
      <w:numFmt w:val="lowerRoman"/>
      <w:lvlText w:val="%6."/>
      <w:lvlJc w:val="right"/>
      <w:pPr>
        <w:ind w:left="3967" w:hanging="180"/>
      </w:pPr>
    </w:lvl>
    <w:lvl w:ilvl="6">
      <w:start w:val="1"/>
      <w:numFmt w:val="decimal"/>
      <w:lvlText w:val="%7."/>
      <w:lvlJc w:val="left"/>
      <w:pPr>
        <w:ind w:left="4687" w:hanging="360"/>
      </w:pPr>
    </w:lvl>
    <w:lvl w:ilvl="7">
      <w:start w:val="1"/>
      <w:numFmt w:val="lowerLetter"/>
      <w:lvlText w:val="%8."/>
      <w:lvlJc w:val="left"/>
      <w:pPr>
        <w:ind w:left="5407" w:hanging="360"/>
      </w:pPr>
    </w:lvl>
    <w:lvl w:ilvl="8">
      <w:start w:val="1"/>
      <w:numFmt w:val="lowerRoman"/>
      <w:lvlText w:val="%9."/>
      <w:lvlJc w:val="right"/>
      <w:pPr>
        <w:ind w:left="6127" w:hanging="180"/>
      </w:pPr>
    </w:lvl>
  </w:abstractNum>
  <w:abstractNum w:abstractNumId="17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lvl w:ilvl="0">
      <w:start w:val="5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lvl w:ilvl="0">
      <w:start w:val="19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</w:numbering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47639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Nagwek5">
    <w:name w:val="Heading 5"/>
    <w:basedOn w:val="Normal"/>
    <w:next w:val="Normal"/>
    <w:link w:val="Nagwek5Znak"/>
    <w:uiPriority w:val="9"/>
    <w:unhideWhenUsed/>
    <w:qFormat/>
    <w:rsid w:val="00691a5d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782412"/>
    <w:rPr>
      <w:b/>
      <w:bCs/>
    </w:rPr>
  </w:style>
  <w:style w:type="character" w:styleId="Czeinternetowe">
    <w:name w:val="Łącze internetowe"/>
    <w:basedOn w:val="DefaultParagraphFont"/>
    <w:uiPriority w:val="99"/>
    <w:unhideWhenUsed/>
    <w:rsid w:val="00db7f75"/>
    <w:rPr>
      <w:color w:val="0000FF" w:themeColor="hyperlink"/>
      <w:u w:val="single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476398"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86d8d"/>
    <w:rPr>
      <w:rFonts w:ascii="Tahoma" w:hAnsi="Tahoma" w:cs="Tahoma"/>
      <w:sz w:val="16"/>
      <w:szCs w:val="16"/>
    </w:rPr>
  </w:style>
  <w:style w:type="character" w:styleId="Markedcontent" w:customStyle="1">
    <w:name w:val="markedcontent"/>
    <w:basedOn w:val="DefaultParagraphFont"/>
    <w:qFormat/>
    <w:rsid w:val="000b1d1d"/>
    <w:rPr/>
  </w:style>
  <w:style w:type="character" w:styleId="BezodstpwZnak" w:customStyle="1">
    <w:name w:val="Bez odstępów Znak"/>
    <w:basedOn w:val="DefaultParagraphFont"/>
    <w:link w:val="Bezodstpw"/>
    <w:uiPriority w:val="1"/>
    <w:qFormat/>
    <w:rsid w:val="00ba60c0"/>
    <w:rPr/>
  </w:style>
  <w:style w:type="character" w:styleId="Normaltextrun" w:customStyle="1">
    <w:name w:val="normaltextrun"/>
    <w:basedOn w:val="DefaultParagraphFont"/>
    <w:qFormat/>
    <w:rsid w:val="00ba60c0"/>
    <w:rPr/>
  </w:style>
  <w:style w:type="character" w:styleId="Nagwek5Znak" w:customStyle="1">
    <w:name w:val="Nagłówek 5 Znak"/>
    <w:basedOn w:val="DefaultParagraphFont"/>
    <w:link w:val="Nagwek5"/>
    <w:uiPriority w:val="9"/>
    <w:qFormat/>
    <w:rsid w:val="00691a5d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691a5d"/>
    <w:rPr/>
  </w:style>
  <w:style w:type="character" w:styleId="AkapitzlistZnak" w:customStyle="1">
    <w:name w:val="Akapit z listą Znak"/>
    <w:link w:val="Akapitzlist"/>
    <w:uiPriority w:val="34"/>
    <w:qFormat/>
    <w:rsid w:val="007d729d"/>
    <w:rPr/>
  </w:style>
  <w:style w:type="character" w:styleId="FontStyle44" w:customStyle="1">
    <w:name w:val="Font Style44"/>
    <w:qFormat/>
    <w:rsid w:val="00795a70"/>
    <w:rPr>
      <w:rFonts w:ascii="Times New Roman" w:hAnsi="Times New Roman" w:cs="Times New Roman"/>
      <w:sz w:val="22"/>
      <w:szCs w:val="22"/>
    </w:rPr>
  </w:style>
  <w:style w:type="character" w:styleId="ListLabel1">
    <w:name w:val="ListLabel 1"/>
    <w:qFormat/>
    <w:rPr>
      <w:rFonts w:eastAsia="Times New Roman" w:cs="Calibri"/>
      <w:color w:val="auto"/>
    </w:rPr>
  </w:style>
  <w:style w:type="character" w:styleId="ListLabel2">
    <w:name w:val="ListLabel 2"/>
    <w:qFormat/>
    <w:rPr>
      <w:rFonts w:cs="Courier New"/>
      <w:color w:val="4F81BD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Arial Narrow" w:hAnsi="Arial Narrow"/>
      <w:b/>
      <w:sz w:val="22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ascii="Arial Narrow" w:hAnsi="Arial Narrow"/>
      <w:bCs/>
      <w:color w:val="auto"/>
      <w:u w:val="none"/>
    </w:rPr>
  </w:style>
  <w:style w:type="character" w:styleId="ListLabel19">
    <w:name w:val="ListLabel 19"/>
    <w:qFormat/>
    <w:rPr>
      <w:rFonts w:ascii="Arial Narrow" w:hAnsi="Arial Narrow"/>
      <w:bCs/>
      <w:color w:val="auto"/>
      <w:sz w:val="22"/>
      <w:szCs w:val="22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691a5d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ff7272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782412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d601b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link w:val="BezodstpwZnak"/>
    <w:uiPriority w:val="1"/>
    <w:qFormat/>
    <w:rsid w:val="00aa3fb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86d8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wykytekstVN" w:customStyle="1">
    <w:name w:val="Zwykły tekst VN"/>
    <w:basedOn w:val="Tretekstu"/>
    <w:qFormat/>
    <w:rsid w:val="00691a5d"/>
    <w:pPr>
      <w:suppressAutoHyphens w:val="true"/>
      <w:spacing w:lineRule="auto" w:line="240" w:before="240" w:after="0"/>
    </w:pPr>
    <w:rPr>
      <w:rFonts w:ascii="Verdana" w:hAnsi="Verdana" w:eastAsia="Times New Roman" w:cs="Times New Roman"/>
      <w:color w:val="1F262D"/>
      <w:sz w:val="20"/>
      <w:lang w:eastAsia="pl-PL"/>
    </w:rPr>
  </w:style>
  <w:style w:type="paragraph" w:styleId="Wypunktowanie1NV" w:customStyle="1">
    <w:name w:val="Wypunktowanie 1 NV"/>
    <w:basedOn w:val="Tretekstu"/>
    <w:qFormat/>
    <w:rsid w:val="00691a5d"/>
    <w:pPr>
      <w:suppressAutoHyphens w:val="true"/>
      <w:spacing w:lineRule="auto" w:line="240" w:before="120" w:after="0"/>
    </w:pPr>
    <w:rPr>
      <w:rFonts w:ascii="Verdana" w:hAnsi="Verdana" w:eastAsia="Times New Roman" w:cs="Times New Roman"/>
      <w:color w:val="1F262D"/>
      <w:sz w:val="20"/>
      <w:lang w:eastAsia="pl-PL"/>
    </w:rPr>
  </w:style>
  <w:style w:type="paragraph" w:styleId="Wypunktowanie2NV" w:customStyle="1">
    <w:name w:val="Wypunktowanie 2 NV"/>
    <w:basedOn w:val="Tretekstu"/>
    <w:qFormat/>
    <w:rsid w:val="00691a5d"/>
    <w:pPr>
      <w:suppressAutoHyphens w:val="true"/>
      <w:spacing w:lineRule="auto" w:line="240" w:before="120" w:after="0"/>
      <w:ind w:left="1440" w:hanging="360"/>
    </w:pPr>
    <w:rPr>
      <w:rFonts w:ascii="Verdana" w:hAnsi="Verdana" w:eastAsia="Times New Roman" w:cs="Times New Roman"/>
      <w:color w:val="1F262D"/>
      <w:sz w:val="20"/>
      <w:lang w:eastAsia="pl-PL"/>
    </w:rPr>
  </w:style>
  <w:style w:type="paragraph" w:styleId="Style14" w:customStyle="1">
    <w:name w:val="Style14"/>
    <w:basedOn w:val="Normal"/>
    <w:qFormat/>
    <w:rsid w:val="00795a70"/>
    <w:pPr>
      <w:widowControl w:val="false"/>
      <w:spacing w:lineRule="exact" w:line="274" w:before="0" w:after="0"/>
      <w:ind w:hanging="353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9206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kowalska@cuwpo.wloclawek.pl" TargetMode="External"/><Relationship Id="rId3" Type="http://schemas.openxmlformats.org/officeDocument/2006/relationships/hyperlink" Target="mailto:akowalska@cuwpo.wloclawek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F227-BDF4-4AC6-8EC8-713A70C4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Application>LibreOffice/6.2.3.2$Windows_x86 LibreOffice_project/aecc05fe267cc68dde00352a451aa867b3b546ac</Application>
  <Pages>10</Pages>
  <Words>3126</Words>
  <Characters>20804</Characters>
  <CharactersWithSpaces>23516</CharactersWithSpaces>
  <Paragraphs>241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2021-06-18T07:27:00Z</dcterms:created>
  <dc:creator>AKowalska</dc:creator>
  <dc:description/>
  <cp:keywords>zapytanie ofertowe</cp:keywords>
  <dc:language>pl-PL</dc:language>
  <cp:lastModifiedBy/>
  <cp:lastPrinted>2022-11-17T06:55:00Z</cp:lastPrinted>
  <dcterms:modified xsi:type="dcterms:W3CDTF">2023-12-12T11:53:19Z</dcterms:modified>
  <cp:revision>293</cp:revision>
  <dc:subject/>
  <dc:title>Zapytanie ofertowe - Wersja dla niepełnosprawnych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